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法的見通し検討メモ（受任時・内部検討用）</w:t>
      </w:r>
    </w:p>
    <w:p>
      <w:r>
        <w:t>【法的見通し検討メモ（依頼者説明・内部検討用）】</w:t>
      </w:r>
    </w:p>
    <w:p>
      <w:r>
        <w:t>作成日：2026/6/26</w:t>
      </w:r>
    </w:p>
    <w:p>
      <w:r>
        <w:t>依頼者：木村　美穂　／　相手方：木村　浩之</w:t>
      </w:r>
    </w:p>
    <w:p/>
    <w:p>
      <w:r>
        <w:t>■ 離婚原因の見通し</w:t>
      </w:r>
    </w:p>
    <w:p>
      <w:r>
        <w:t>主張可能な法定離婚原因として、不貞行為（民法770条1項1号）が想定される。ただし、いずれも立証（証拠）の充実度により認定の確度が変わるため、客観的証拠（メッセージ、写真、診断書、第三者証言等）の収集状況を確認の上、立証方針を確定する必要がある。</w:t>
      </w:r>
    </w:p>
    <w:p>
      <w:r>
        <w:t>不貞については、性的関係を直接・間接に推認させる証拠（宿泊記録、メッセージ内容等）の有無が立証上の最大のポイントとなる。</w:t>
      </w:r>
    </w:p>
    <w:p/>
    <w:p>
      <w:r>
        <w:t>■ 婚姻費用・養育費の見通し</w:t>
      </w:r>
    </w:p>
    <w:p>
      <w:r>
        <w:t>別居中であるため、離婚成立までの間、婚姻費用分担請求（民法752条、家事事件手続法）が可能。標準的算定方式（簡易算定表）により、双方の年収・子の数・年齢を基礎に算定される。依頼者希望額（月額18万円）との整合性は、双方の収入資料確認後に検証する。</w:t>
      </w:r>
    </w:p>
    <w:p>
      <w:r>
        <w:t>養育費についても標準算定方式に基づく算定が原則であり、親権・監護権の帰属先によって算定の前提（監護親・非監護親）が変動する。</w:t>
      </w:r>
    </w:p>
    <w:p/>
    <w:p>
      <w:r>
        <w:t>■ 財産分与の見通し</w:t>
      </w:r>
    </w:p>
    <w:p>
      <w:r>
        <w:t>財産分与は、婚姻中に形成された財産を対象に、原則2分の1の割合で分与するのが裁判実務上の原則（最高裁判例の考え方に準拠）。特有財産（婚姻前の財産・相続財産等）に該当する部分は対象外となるため、取得時期・原資の確認が必要。債務についても財産分与の清算的要素として考慮する必要があり、生活費に起因する債務かどうかを精査する。事業用資産・会社株式が存在する場合、評価方法（純資産方式等）について専門的検討が必要となる可能性がある。</w:t>
      </w:r>
    </w:p>
    <w:p/>
    <w:p>
      <w:r>
        <w:t>■ 慰謝料の見通し</w:t>
      </w:r>
    </w:p>
    <w:p>
      <w:r>
        <w:t>離婚慰謝料の相場は事案の内容（不貞の期間・態様、DVの程度等）により大きく異なり、一般的には数十万円～300万円程度の範囲で認定される例が多い。依頼者希望額（300万円）は、相場感や証拠の充実度を踏まえて協議・調停の場で柔らかく主張する方針とし、相手方の反応を見て調整する。</w:t>
      </w:r>
    </w:p>
    <w:p/>
    <w:p>
      <w:r>
        <w:t>■ 年金分割の見通し</w:t>
      </w:r>
    </w:p>
    <w:p>
      <w:r>
        <w:t>厚生年金等の保険料納付実績がある場合、合意分割（原則0.5）の対象となる。年金事務所で「年金分割のための情報通知書」を取得し、分割対象期間・按分割合を確定させる必要がある。</w:t>
      </w:r>
    </w:p>
    <w:p/>
    <w:p>
      <w:r>
        <w:t>■ 親権の見通し</w:t>
      </w:r>
    </w:p>
    <w:p>
      <w:r>
        <w:t>親権が争点となる場合、実務上は「主たる監護者」「監護の継続性」「子の意思（年齢相応）」「監護環境の安定性」等を総合的に考慮して判断される。現時点の監護状況（誰が日常的な世話をしているか）の整理が主張構成上重要となる。</w:t>
      </w:r>
    </w:p>
    <w:p/>
    <w:p>
      <w:r>
        <w:t>■ 進行方針</w:t>
      </w:r>
    </w:p>
    <w:p>
      <w:r>
        <w:t>協議・調停が不成立となった場合は訴訟移行を想定し、立証計画（証拠収集・主張整理）を早期に準備する。</w:t>
      </w:r>
    </w:p>
    <w:p/>
    <w:p>
      <w:r>
        <w:t>※本メモは聴取段階の限られた情報に基づく一般的な見通しであり、証拠関係の精査・追加の聴取結果により結論が変わり得る暫定的な検討メモである。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