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61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200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40"/>
                <w:szCs w:val="40"/>
              </w:rPr>
              <w:t xml:space="preserve">インフラ構成 設計・比較書</w:t>
            </w:r>
          </w:p>
          <w:p>
            <w:pPr>
              <w:spacing w:after="20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CADCFC"/>
                <w:sz w:val="22"/>
                <w:szCs w:val="22"/>
              </w:rPr>
              <w:t xml:space="preserve">FitGym アプリ(9/20版 → 最終モデル)</w:t>
            </w:r>
          </w:p>
        </w:tc>
      </w:tr>
    </w:tbl>
    <w:p>
      <w:pPr>
        <w:spacing w:after="20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spacing w:after="100" w:before="0" w:line="276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5F5E5A"/>
          <w:sz w:val="20"/>
          <w:szCs w:val="20"/>
        </w:rPr>
        <w:t xml:space="preserve">目的:</w:t>
      </w:r>
      <w:r>
        <w:rPr>
          <w:rFonts w:ascii="Yu Gothic" w:cs="Yu Gothic" w:eastAsia="Yu Gothic" w:hAnsi="Yu Gothic"/>
          <w:b/>
          <w:bCs/>
          <w:i w:val="false"/>
          <w:iCs w:val="false"/>
          <w:color w:val="222222"/>
          <w:sz w:val="20"/>
          <w:szCs w:val="20"/>
        </w:rPr>
        <w:t xml:space="preserve">  インフラ構成の候補比較と、要件(国内リージョン・医療データ規制対応)を踏まえた推奨案の提示</w:t>
      </w:r>
    </w:p>
    <w:p>
      <w:pPr>
        <w:spacing w:after="100" w:before="0" w:line="276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5F5E5A"/>
          <w:sz w:val="20"/>
          <w:szCs w:val="20"/>
        </w:rPr>
        <w:t xml:space="preserve">作成日: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 2026年7月27日</w:t>
      </w:r>
    </w:p>
    <w:p>
      <w:pPr>
        <w:spacing w:after="100" w:before="0" w:line="276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5F5E5A"/>
          <w:sz w:val="20"/>
          <w:szCs w:val="20"/>
        </w:rPr>
        <w:t xml:space="preserve">前提規模: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 9/20版=会員約100名・1店舗 / 最終モデル=会員300〜500名・複数店舗</w:t>
      </w:r>
    </w:p>
    <w:p>
      <w:pPr>
        <w:spacing w:after="16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pBdr>
          <w:bottom w:val="single" w:color="1A9E6E" w:sz="12"/>
        </w:pBdr>
        <w:spacing w:after="120" w:before="260"/>
      </w:pPr>
      <w:r>
        <w:rPr>
          <w:rFonts w:ascii="Yu Gothic" w:cs="Yu Gothic" w:eastAsia="Yu Gothic" w:hAnsi="Yu Gothic"/>
          <w:b/>
          <w:bCs/>
          <w:i w:val="false"/>
          <w:iCs w:val="false"/>
          <w:color w:val="1E2761"/>
          <w:sz w:val="28"/>
          <w:szCs w:val="28"/>
        </w:rPr>
        <w:t xml:space="preserve">目次</w:t>
      </w:r>
    </w:p>
    <w:sdt>
      <w:sdtPr>
        <w:alias w:val="目次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1A9E6E" w:sz="12"/>
        </w:pBdr>
        <w:spacing w:after="120" w:before="260"/>
      </w:pPr>
      <w:r>
        <w:rPr>
          <w:rFonts w:ascii="Yu Gothic" w:cs="Yu Gothic" w:eastAsia="Yu Gothic" w:hAnsi="Yu Gothic"/>
          <w:b/>
          <w:bCs/>
          <w:i w:val="false"/>
          <w:iCs w:val="false"/>
          <w:color w:val="1E2761"/>
          <w:sz w:val="28"/>
          <w:szCs w:val="28"/>
        </w:rPr>
        <w:t xml:space="preserve">1. 前提と評価軸</w:t>
      </w:r>
    </w:p>
    <w:p>
      <w:pPr>
        <w:spacing w:after="100" w:before="0" w:line="276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>本書は FitGym アプリのインフラ構成を確定するための比較資料である。個人開発体制での運用負荷を抑えつつ、9/20版から最終モデル(複数店舗・AI・医療連携)へ構成を組み替えずに拡張できることを重視する。今回のご要望を踏まえ、評価軸を以下とする。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Yu Gothic" w:cs="Yu Gothic" w:eastAsia="Yu Gothic" w:hAnsi="Yu Gothic"/>
          <w:b/>
          <w:bCs/>
          <w:i w:val="false"/>
          <w:iCs w:val="false"/>
          <w:color w:val="222222"/>
          <w:sz w:val="20"/>
          <w:szCs w:val="20"/>
        </w:rPr>
        <w:t xml:space="preserve">コスト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>:初期費用・月額ランニングコスト(規模別)。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Yu Gothic" w:cs="Yu Gothic" w:eastAsia="Yu Gothic" w:hAnsi="Yu Gothic"/>
          <w:b/>
          <w:bCs/>
          <w:i w:val="false"/>
          <w:iCs w:val="false"/>
          <w:color w:val="222222"/>
          <w:sz w:val="20"/>
          <w:szCs w:val="20"/>
        </w:rPr>
        <w:t xml:space="preserve">国内リージョン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>:日本国内(東京)リージョンでデータを保持できること。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Yu Gothic" w:cs="Yu Gothic" w:eastAsia="Yu Gothic" w:hAnsi="Yu Gothic"/>
          <w:b/>
          <w:bCs/>
          <w:i w:val="false"/>
          <w:iCs w:val="false"/>
          <w:color w:val="222222"/>
          <w:sz w:val="20"/>
          <w:szCs w:val="20"/>
        </w:rPr>
        <w:t xml:space="preserve">医療データ規制対応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>:最終モデルのリハビリ・医療連携を見据え、責任分界・契約・監査対応が可能なこと。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Yu Gothic" w:cs="Yu Gothic" w:eastAsia="Yu Gothic" w:hAnsi="Yu Gothic"/>
          <w:b/>
          <w:bCs/>
          <w:i w:val="false"/>
          <w:iCs w:val="false"/>
          <w:color w:val="222222"/>
          <w:sz w:val="20"/>
          <w:szCs w:val="20"/>
        </w:rPr>
        <w:t xml:space="preserve">運用負荷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>:個人開発でも維持できるマネージド度・自動化。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Yu Gothic" w:cs="Yu Gothic" w:eastAsia="Yu Gothic" w:hAnsi="Yu Gothic"/>
          <w:b/>
          <w:bCs/>
          <w:i w:val="false"/>
          <w:iCs w:val="false"/>
          <w:color w:val="222222"/>
          <w:sz w:val="20"/>
          <w:szCs w:val="20"/>
        </w:rPr>
        <w:t xml:space="preserve">拡張性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>:複数店舗・AI・医療連携への発展のしやすさ。</w:t>
      </w:r>
    </w:p>
    <w:p>
      <w:pPr>
        <w:pBdr>
          <w:top w:val="single" w:color="BFC5D2" w:sz="4"/>
          <w:bottom w:val="single" w:color="BFC5D2" w:sz="4"/>
          <w:left w:val="single" w:color="BFC5D2" w:sz="4"/>
          <w:right w:val="single" w:color="BFC5D2" w:sz="4"/>
        </w:pBdr>
        <w:spacing w:after="100" w:before="0" w:line="276"/>
        <w:jc w:val="left"/>
      </w:pPr>
      <w:r>
        <w:rPr>
          <w:rFonts w:ascii="Yu Gothic" w:cs="Yu Gothic" w:eastAsia="Yu Gothic" w:hAnsi="Yu Gothic"/>
          <w:b/>
          <w:bCs/>
          <w:i w:val="false"/>
          <w:iCs w:val="false"/>
          <w:color w:val="1E2761"/>
          <w:sz w:val="20"/>
          <w:szCs w:val="20"/>
        </w:rPr>
        <w:t xml:space="preserve">重要な前提: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9/20版(PoC)の段階では医療データを扱わない。医療・リハビリ連携は最終モデルの機能であり、そこで初めて医療規制対応が本格的に必要になる。したがって本書では「9/20版は軽量に始め、医療連携の段階でリージョン・契約・分離を強化する」二段構えを推奨方針とする。</w:t>
      </w:r>
    </w:p>
    <w:p>
      <w:pPr>
        <w:pStyle w:val="Heading1"/>
        <w:pBdr>
          <w:bottom w:val="single" w:color="1A9E6E" w:sz="12"/>
        </w:pBdr>
        <w:spacing w:after="120" w:before="260"/>
      </w:pPr>
      <w:r>
        <w:rPr>
          <w:rFonts w:ascii="Yu Gothic" w:cs="Yu Gothic" w:eastAsia="Yu Gothic" w:hAnsi="Yu Gothic"/>
          <w:b/>
          <w:bCs/>
          <w:i w:val="false"/>
          <w:iCs w:val="false"/>
          <w:color w:val="1E2761"/>
          <w:sz w:val="28"/>
          <w:szCs w:val="28"/>
        </w:rPr>
        <w:t xml:space="preserve">2. 候補構成の概要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100"/>
        <w:gridCol w:w="4360"/>
      </w:tblGrid>
      <w:tr>
        <w:trPr>
          <w:tblHeader/>
        </w:trPr>
        <w:tc>
          <w:tcPr>
            <w:tcW w:type="dxa" w:w="1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2761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構成</w:t>
            </w:r>
          </w:p>
        </w:tc>
        <w:tc>
          <w:tcPr>
            <w:tcW w:type="dxa" w:w="31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2761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主なサービス</w:t>
            </w:r>
          </w:p>
        </w:tc>
        <w:tc>
          <w:tcPr>
            <w:tcW w:type="dxa" w:w="43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2761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特徴</w:t>
            </w:r>
          </w:p>
        </w:tc>
      </w:tr>
      <w:tr>
        <w:tc>
          <w:tcPr>
            <w:tcW w:type="dxa" w:w="1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A. Vercel + Supabase</w:t>
            </w:r>
          </w:p>
        </w:tc>
        <w:tc>
          <w:tcPr>
            <w:tcW w:type="dxa" w:w="31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Vercel / Supabase(PostgreSQL・認証・ストレージ)</w:t>
            </w:r>
          </w:p>
        </w:tc>
        <w:tc>
          <w:tcPr>
            <w:tcW w:type="dxa" w:w="43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最速・最安。マネージド度が高く個人開発向き。</w:t>
            </w:r>
          </w:p>
        </w:tc>
      </w:tr>
      <w:tr>
        <w:tc>
          <w:tcPr>
            <w:tcW w:type="dxa" w:w="1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B. AWS 中心</w:t>
            </w:r>
          </w:p>
        </w:tc>
        <w:tc>
          <w:tcPr>
            <w:tcW w:type="dxa" w:w="31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ECS or App Runner / RDS / Cognito / S3</w:t>
            </w:r>
          </w:p>
        </w:tc>
        <w:tc>
          <w:tcPr>
            <w:tcW w:type="dxa" w:w="43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国内リージョン・医療対応の実績が最も豊富。運用は重い。</w:t>
            </w:r>
          </w:p>
        </w:tc>
      </w:tr>
      <w:tr>
        <w:tc>
          <w:tcPr>
            <w:tcW w:type="dxa" w:w="1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C. GCP / Firebase</w:t>
            </w:r>
          </w:p>
        </w:tc>
        <w:tc>
          <w:tcPr>
            <w:tcW w:type="dxa" w:w="31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Cloud Run / Firebase Auth / Firestore or Cloud SQL</w:t>
            </w:r>
          </w:p>
        </w:tc>
        <w:tc>
          <w:tcPr>
            <w:tcW w:type="dxa" w:w="43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スケール自動化に強い。中間的な運用負荷。</w:t>
            </w:r>
          </w:p>
        </w:tc>
      </w:tr>
    </w:tbl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spacing w:after="100" w:before="0" w:line="276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>いずれの構成でも、アプリケーションは Next.js(会員UI・管理者UI・APIを一体)で共通とし、下回りのマネージドサービスだけを差し替える方針とする。これによりインフラ選定を後から変更しても、アプリ本体の作り直しは最小限で済む。</w:t>
      </w:r>
    </w:p>
    <w:p>
      <w:r>
        <w:br w:type="page"/>
      </w:r>
    </w:p>
    <w:p>
      <w:pPr>
        <w:pStyle w:val="Heading1"/>
        <w:pBdr>
          <w:bottom w:val="single" w:color="1A9E6E" w:sz="12"/>
        </w:pBdr>
        <w:spacing w:after="120" w:before="260"/>
      </w:pPr>
      <w:r>
        <w:rPr>
          <w:rFonts w:ascii="Yu Gothic" w:cs="Yu Gothic" w:eastAsia="Yu Gothic" w:hAnsi="Yu Gothic"/>
          <w:b/>
          <w:bCs/>
          <w:i w:val="false"/>
          <w:iCs w:val="false"/>
          <w:color w:val="1E2761"/>
          <w:sz w:val="28"/>
          <w:szCs w:val="28"/>
        </w:rPr>
        <w:t xml:space="preserve">3. コスト比較(月額目安・税込)</w:t>
      </w:r>
    </w:p>
    <w:p>
      <w:pPr>
        <w:spacing w:after="100" w:before="0" w:line="276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>会員数・予約数・AI利用量に応じた従量課金のため、下表は目安である。9/20版は会員約100名・1店舗、最終モデルは会員300〜500名・複数店舗+AIを想定する。</w:t>
      </w:r>
    </w:p>
    <w:p>
      <w:pPr>
        <w:pStyle w:val="Heading2"/>
        <w:spacing w:after="120" w:before="260"/>
      </w:pPr>
      <w:r>
        <w:rPr>
          <w:rFonts w:ascii="Yu Gothic" w:cs="Yu Gothic" w:eastAsia="Yu Gothic" w:hAnsi="Yu Gothic"/>
          <w:b/>
          <w:bCs/>
          <w:i w:val="false"/>
          <w:iCs w:val="false"/>
          <w:color w:val="1E2761"/>
          <w:sz w:val="24"/>
          <w:szCs w:val="24"/>
        </w:rPr>
        <w:t xml:space="preserve">3.1 9/20版(1店舗PoC)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40"/>
        <w:gridCol w:w="1740"/>
        <w:gridCol w:w="1740"/>
        <w:gridCol w:w="840"/>
      </w:tblGrid>
      <w:tr>
        <w:trPr>
          <w:tblHeader/>
        </w:trP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2761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構成</w:t>
            </w:r>
          </w:p>
        </w:tc>
        <w:tc>
          <w:tcPr>
            <w:tcW w:type="dxa" w:w="174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2761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ホスティング</w:t>
            </w:r>
          </w:p>
        </w:tc>
        <w:tc>
          <w:tcPr>
            <w:tcW w:type="dxa" w:w="174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2761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DB・認証</w:t>
            </w:r>
          </w:p>
        </w:tc>
        <w:tc>
          <w:tcPr>
            <w:tcW w:type="dxa" w:w="174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2761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その他</w:t>
            </w:r>
          </w:p>
        </w:tc>
        <w:tc>
          <w:tcPr>
            <w:tcW w:type="dxa" w:w="84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2761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合計/月</w:t>
            </w:r>
          </w:p>
        </w:tc>
      </w:tr>
      <w:t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A9E6E"/>
                <w:sz w:val="18"/>
                <w:szCs w:val="18"/>
              </w:rPr>
              <w:t xml:space="preserve">A. Vercel+Supabase</w:t>
            </w:r>
          </w:p>
        </w:tc>
        <w:tc>
          <w:tcPr>
            <w:tcW w:type="dxa" w:w="174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¥0〜3,000</w:t>
            </w:r>
          </w:p>
        </w:tc>
        <w:tc>
          <w:tcPr>
            <w:tcW w:type="dxa" w:w="174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¥0(無料枠)</w:t>
            </w:r>
          </w:p>
        </w:tc>
        <w:tc>
          <w:tcPr>
            <w:tcW w:type="dxa" w:w="174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¥0〜3,000</w:t>
            </w:r>
          </w:p>
        </w:tc>
        <w:tc>
          <w:tcPr>
            <w:tcW w:type="dxa" w:w="84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¥0〜9,000</w:t>
            </w:r>
          </w:p>
        </w:tc>
      </w:tr>
      <w:t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B. AWS</w:t>
            </w:r>
          </w:p>
        </w:tc>
        <w:tc>
          <w:tcPr>
            <w:tcW w:type="dxa" w:w="174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¥5,000〜</w:t>
            </w:r>
          </w:p>
        </w:tc>
        <w:tc>
          <w:tcPr>
            <w:tcW w:type="dxa" w:w="174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¥10,000〜</w:t>
            </w:r>
          </w:p>
        </w:tc>
        <w:tc>
          <w:tcPr>
            <w:tcW w:type="dxa" w:w="174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¥3,000〜</w:t>
            </w:r>
          </w:p>
        </w:tc>
        <w:tc>
          <w:tcPr>
            <w:tcW w:type="dxa" w:w="84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¥18,000〜25,000</w:t>
            </w:r>
          </w:p>
        </w:tc>
      </w:tr>
      <w:t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C. GCP/Firebase</w:t>
            </w:r>
          </w:p>
        </w:tc>
        <w:tc>
          <w:tcPr>
            <w:tcW w:type="dxa" w:w="174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¥2,000〜</w:t>
            </w:r>
          </w:p>
        </w:tc>
        <w:tc>
          <w:tcPr>
            <w:tcW w:type="dxa" w:w="174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¥5,000〜</w:t>
            </w:r>
          </w:p>
        </w:tc>
        <w:tc>
          <w:tcPr>
            <w:tcW w:type="dxa" w:w="174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¥2,000〜</w:t>
            </w:r>
          </w:p>
        </w:tc>
        <w:tc>
          <w:tcPr>
            <w:tcW w:type="dxa" w:w="84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¥9,000〜15,000</w:t>
            </w:r>
          </w:p>
        </w:tc>
      </w:tr>
    </w:tbl>
    <w:p>
      <w:pPr>
        <w:spacing w:after="14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120" w:before="260"/>
      </w:pPr>
      <w:r>
        <w:rPr>
          <w:rFonts w:ascii="Yu Gothic" w:cs="Yu Gothic" w:eastAsia="Yu Gothic" w:hAnsi="Yu Gothic"/>
          <w:b/>
          <w:bCs/>
          <w:i w:val="false"/>
          <w:iCs w:val="false"/>
          <w:color w:val="1E2761"/>
          <w:sz w:val="24"/>
          <w:szCs w:val="24"/>
        </w:rPr>
        <w:t xml:space="preserve">3.2 最終モデル(複数店舗・AI・医療連携)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40"/>
        <w:gridCol w:w="1740"/>
        <w:gridCol w:w="1740"/>
        <w:gridCol w:w="840"/>
      </w:tblGrid>
      <w:tr>
        <w:trPr>
          <w:tblHeader/>
        </w:trP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2761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構成</w:t>
            </w:r>
          </w:p>
        </w:tc>
        <w:tc>
          <w:tcPr>
            <w:tcW w:type="dxa" w:w="174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2761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基盤</w:t>
            </w:r>
          </w:p>
        </w:tc>
        <w:tc>
          <w:tcPr>
            <w:tcW w:type="dxa" w:w="174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2761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AI(LLM)</w:t>
            </w:r>
          </w:p>
        </w:tc>
        <w:tc>
          <w:tcPr>
            <w:tcW w:type="dxa" w:w="174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2761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その他</w:t>
            </w:r>
          </w:p>
        </w:tc>
        <w:tc>
          <w:tcPr>
            <w:tcW w:type="dxa" w:w="84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2761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合計/月</w:t>
            </w:r>
          </w:p>
        </w:tc>
      </w:tr>
      <w:t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A9E6E"/>
                <w:sz w:val="18"/>
                <w:szCs w:val="18"/>
              </w:rPr>
              <w:t xml:space="preserve">A. Vercel+Supabase</w:t>
            </w:r>
          </w:p>
        </w:tc>
        <w:tc>
          <w:tcPr>
            <w:tcW w:type="dxa" w:w="174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¥8,000〜</w:t>
            </w:r>
          </w:p>
        </w:tc>
        <w:tc>
          <w:tcPr>
            <w:tcW w:type="dxa" w:w="174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¥5,000〜20,000</w:t>
            </w:r>
          </w:p>
        </w:tc>
        <w:tc>
          <w:tcPr>
            <w:tcW w:type="dxa" w:w="174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¥5,000〜</w:t>
            </w:r>
          </w:p>
        </w:tc>
        <w:tc>
          <w:tcPr>
            <w:tcW w:type="dxa" w:w="84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¥25,000〜45,000</w:t>
            </w:r>
          </w:p>
        </w:tc>
      </w:tr>
      <w:t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B. AWS</w:t>
            </w:r>
          </w:p>
        </w:tc>
        <w:tc>
          <w:tcPr>
            <w:tcW w:type="dxa" w:w="174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¥40,000〜</w:t>
            </w:r>
          </w:p>
        </w:tc>
        <w:tc>
          <w:tcPr>
            <w:tcW w:type="dxa" w:w="174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¥5,000〜20,000</w:t>
            </w:r>
          </w:p>
        </w:tc>
        <w:tc>
          <w:tcPr>
            <w:tcW w:type="dxa" w:w="174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¥10,000〜</w:t>
            </w:r>
          </w:p>
        </w:tc>
        <w:tc>
          <w:tcPr>
            <w:tcW w:type="dxa" w:w="84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¥60,000〜90,000</w:t>
            </w:r>
          </w:p>
        </w:tc>
      </w:tr>
      <w:t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C. GCP/Firebase</w:t>
            </w:r>
          </w:p>
        </w:tc>
        <w:tc>
          <w:tcPr>
            <w:tcW w:type="dxa" w:w="174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¥25,000〜</w:t>
            </w:r>
          </w:p>
        </w:tc>
        <w:tc>
          <w:tcPr>
            <w:tcW w:type="dxa" w:w="174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¥5,000〜20,000</w:t>
            </w:r>
          </w:p>
        </w:tc>
        <w:tc>
          <w:tcPr>
            <w:tcW w:type="dxa" w:w="174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¥8,000〜</w:t>
            </w:r>
          </w:p>
        </w:tc>
        <w:tc>
          <w:tcPr>
            <w:tcW w:type="dxa" w:w="84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¥40,000〜60,000</w:t>
            </w:r>
          </w:p>
        </w:tc>
      </w:tr>
    </w:tbl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spacing w:after="100" w:before="0" w:line="276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5F5E5A"/>
          <w:sz w:val="18"/>
          <w:szCs w:val="18"/>
        </w:rPr>
        <w:t xml:space="preserve">※上記に加え、医療連携の段階では監査ログ保管・バックアップ・データ暗号化などで各構成とも月額数千〜1万円程度の上乗せを見込む。AI(LLM API)の従量課金は構成に依存しないため全案共通で計上している。</w:t>
      </w:r>
    </w:p>
    <w:p>
      <w:r>
        <w:br w:type="page"/>
      </w:r>
    </w:p>
    <w:p>
      <w:pPr>
        <w:pStyle w:val="Heading1"/>
        <w:pBdr>
          <w:bottom w:val="single" w:color="1A9E6E" w:sz="12"/>
        </w:pBdr>
        <w:spacing w:after="120" w:before="260"/>
      </w:pPr>
      <w:r>
        <w:rPr>
          <w:rFonts w:ascii="Yu Gothic" w:cs="Yu Gothic" w:eastAsia="Yu Gothic" w:hAnsi="Yu Gothic"/>
          <w:b/>
          <w:bCs/>
          <w:i w:val="false"/>
          <w:iCs w:val="false"/>
          <w:color w:val="1E2761"/>
          <w:sz w:val="28"/>
          <w:szCs w:val="28"/>
        </w:rPr>
        <w:t xml:space="preserve">4. 要件適合の比較</w:t>
      </w:r>
    </w:p>
    <w:p>
      <w:pPr>
        <w:pStyle w:val="Heading2"/>
        <w:spacing w:after="120" w:before="260"/>
      </w:pPr>
      <w:r>
        <w:rPr>
          <w:rFonts w:ascii="Yu Gothic" w:cs="Yu Gothic" w:eastAsia="Yu Gothic" w:hAnsi="Yu Gothic"/>
          <w:b/>
          <w:bCs/>
          <w:i w:val="false"/>
          <w:iCs w:val="false"/>
          <w:color w:val="1E2761"/>
          <w:sz w:val="24"/>
          <w:szCs w:val="24"/>
        </w:rPr>
        <w:t xml:space="preserve">4.1 国内リージョン(東京)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20"/>
        <w:gridCol w:w="2320"/>
        <w:gridCol w:w="2320"/>
      </w:tblGrid>
      <w:tr>
        <w:trPr>
          <w:tblHeader/>
        </w:trP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2761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観点</w:t>
            </w:r>
          </w:p>
        </w:tc>
        <w:tc>
          <w:tcPr>
            <w:tcW w:type="dxa" w:w="232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2761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A. Vercel+Supabase</w:t>
            </w:r>
          </w:p>
        </w:tc>
        <w:tc>
          <w:tcPr>
            <w:tcW w:type="dxa" w:w="232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2761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B. AWS</w:t>
            </w:r>
          </w:p>
        </w:tc>
        <w:tc>
          <w:tcPr>
            <w:tcW w:type="dxa" w:w="232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2761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C. GCP/Firebase</w:t>
            </w:r>
          </w:p>
        </w:tc>
      </w:tr>
      <w:t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東京リージョン</w:t>
            </w:r>
          </w:p>
        </w:tc>
        <w:tc>
          <w:tcPr>
            <w:tcW w:type="dxa" w:w="232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○(Supabase東京)</w:t>
            </w:r>
          </w:p>
        </w:tc>
        <w:tc>
          <w:tcPr>
            <w:tcW w:type="dxa" w:w="232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◎(実績豊富)</w:t>
            </w:r>
          </w:p>
        </w:tc>
        <w:tc>
          <w:tcPr>
            <w:tcW w:type="dxa" w:w="232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◎(東京あり)</w:t>
            </w:r>
          </w:p>
        </w:tc>
      </w:tr>
      <w:t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配信(CDN)</w:t>
            </w:r>
          </w:p>
        </w:tc>
        <w:tc>
          <w:tcPr>
            <w:tcW w:type="dxa" w:w="232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◎(エッジ配信)</w:t>
            </w:r>
          </w:p>
        </w:tc>
        <w:tc>
          <w:tcPr>
            <w:tcW w:type="dxa" w:w="232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○(CloudFront)</w:t>
            </w:r>
          </w:p>
        </w:tc>
        <w:tc>
          <w:tcPr>
            <w:tcW w:type="dxa" w:w="232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○(Cloud CDN)</w:t>
            </w:r>
          </w:p>
        </w:tc>
      </w:tr>
      <w:t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データ所在の管理</w:t>
            </w:r>
          </w:p>
        </w:tc>
        <w:tc>
          <w:tcPr>
            <w:tcW w:type="dxa" w:w="232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○</w:t>
            </w:r>
          </w:p>
        </w:tc>
        <w:tc>
          <w:tcPr>
            <w:tcW w:type="dxa" w:w="232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◎</w:t>
            </w:r>
          </w:p>
        </w:tc>
        <w:tc>
          <w:tcPr>
            <w:tcW w:type="dxa" w:w="232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◎</w:t>
            </w:r>
          </w:p>
        </w:tc>
      </w:tr>
    </w:tbl>
    <w:p>
      <w:pPr>
        <w:spacing w:after="100" w:before="0" w:line="276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5F5E5A"/>
          <w:sz w:val="18"/>
          <w:szCs w:val="18"/>
        </w:rPr>
        <w:t xml:space="preserve">Vercel はエッジ配信のため配信自体は国内に閉じないが、データ(DB)は Supabase の東京リージョンに保持できる。データ所在を厳密に国内へ限定・証明する必要がある場合は AWS / GCP が有利。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120" w:before="260"/>
      </w:pPr>
      <w:r>
        <w:rPr>
          <w:rFonts w:ascii="Yu Gothic" w:cs="Yu Gothic" w:eastAsia="Yu Gothic" w:hAnsi="Yu Gothic"/>
          <w:b/>
          <w:bCs/>
          <w:i w:val="false"/>
          <w:iCs w:val="false"/>
          <w:color w:val="1E2761"/>
          <w:sz w:val="24"/>
          <w:szCs w:val="24"/>
        </w:rPr>
        <w:t xml:space="preserve">4.2 医療データ規制対応</w:t>
      </w:r>
    </w:p>
    <w:p>
      <w:pPr>
        <w:spacing w:after="100" w:before="0" w:line="276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>日本で医療情報を扱う場合、いわゆる「3省2ガイドライン」(厚労省・経産省・総務省)への準拠が論点になる。クラウド事業者側の対応状況が重要となる。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20"/>
        <w:gridCol w:w="2320"/>
        <w:gridCol w:w="2320"/>
      </w:tblGrid>
      <w:tr>
        <w:trPr>
          <w:tblHeader/>
        </w:trP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2761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観点</w:t>
            </w:r>
          </w:p>
        </w:tc>
        <w:tc>
          <w:tcPr>
            <w:tcW w:type="dxa" w:w="232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2761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A. Vercel+Supabase</w:t>
            </w:r>
          </w:p>
        </w:tc>
        <w:tc>
          <w:tcPr>
            <w:tcW w:type="dxa" w:w="232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2761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B. AWS</w:t>
            </w:r>
          </w:p>
        </w:tc>
        <w:tc>
          <w:tcPr>
            <w:tcW w:type="dxa" w:w="232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2761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C. GCP/Firebase</w:t>
            </w:r>
          </w:p>
        </w:tc>
      </w:tr>
      <w:t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3省2ガイドライン対応</w:t>
            </w:r>
          </w:p>
        </w:tc>
        <w:tc>
          <w:tcPr>
            <w:tcW w:type="dxa" w:w="232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854F0B"/>
                <w:sz w:val="18"/>
                <w:szCs w:val="18"/>
              </w:rPr>
              <w:t xml:space="preserve">△(自己責任範囲大)</w:t>
            </w:r>
          </w:p>
        </w:tc>
        <w:tc>
          <w:tcPr>
            <w:tcW w:type="dxa" w:w="232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1A9E6E"/>
                <w:sz w:val="18"/>
                <w:szCs w:val="18"/>
              </w:rPr>
              <w:t xml:space="preserve">◎(リファレンス有)</w:t>
            </w:r>
          </w:p>
        </w:tc>
        <w:tc>
          <w:tcPr>
            <w:tcW w:type="dxa" w:w="232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○(対応事例有)</w:t>
            </w:r>
          </w:p>
        </w:tc>
      </w:tr>
      <w:t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監査ログ・保管</w:t>
            </w:r>
          </w:p>
        </w:tc>
        <w:tc>
          <w:tcPr>
            <w:tcW w:type="dxa" w:w="232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○</w:t>
            </w:r>
          </w:p>
        </w:tc>
        <w:tc>
          <w:tcPr>
            <w:tcW w:type="dxa" w:w="232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◎</w:t>
            </w:r>
          </w:p>
        </w:tc>
        <w:tc>
          <w:tcPr>
            <w:tcW w:type="dxa" w:w="232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◎</w:t>
            </w:r>
          </w:p>
        </w:tc>
      </w:tr>
      <w:t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契約・責任分界</w:t>
            </w:r>
          </w:p>
        </w:tc>
        <w:tc>
          <w:tcPr>
            <w:tcW w:type="dxa" w:w="232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854F0B"/>
                <w:sz w:val="18"/>
                <w:szCs w:val="18"/>
              </w:rPr>
              <w:t xml:space="preserve">△</w:t>
            </w:r>
          </w:p>
        </w:tc>
        <w:tc>
          <w:tcPr>
            <w:tcW w:type="dxa" w:w="232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◎</w:t>
            </w:r>
          </w:p>
        </w:tc>
        <w:tc>
          <w:tcPr>
            <w:tcW w:type="dxa" w:w="232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◎</w:t>
            </w:r>
          </w:p>
        </w:tc>
      </w:tr>
      <w:t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データ暗号化</w:t>
            </w:r>
          </w:p>
        </w:tc>
        <w:tc>
          <w:tcPr>
            <w:tcW w:type="dxa" w:w="232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○</w:t>
            </w:r>
          </w:p>
        </w:tc>
        <w:tc>
          <w:tcPr>
            <w:tcW w:type="dxa" w:w="232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◎</w:t>
            </w:r>
          </w:p>
        </w:tc>
        <w:tc>
          <w:tcPr>
            <w:tcW w:type="dxa" w:w="232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◎</w:t>
            </w:r>
          </w:p>
        </w:tc>
      </w:tr>
    </w:tbl>
    <w:p>
      <w:pPr>
        <w:pBdr>
          <w:top w:val="single" w:color="BFC5D2" w:sz="4"/>
          <w:bottom w:val="single" w:color="BFC5D2" w:sz="4"/>
          <w:left w:val="single" w:color="BFC5D2" w:sz="4"/>
          <w:right w:val="single" w:color="BFC5D2" w:sz="4"/>
        </w:pBdr>
        <w:spacing w:after="100" w:before="0" w:line="276"/>
        <w:jc w:val="left"/>
      </w:pPr>
      <w:r>
        <w:rPr>
          <w:rFonts w:ascii="Yu Gothic" w:cs="Yu Gothic" w:eastAsia="Yu Gothic" w:hAnsi="Yu Gothic"/>
          <w:b/>
          <w:bCs/>
          <w:i w:val="false"/>
          <w:iCs w:val="false"/>
          <w:color w:val="222222"/>
          <w:sz w:val="20"/>
          <w:szCs w:val="20"/>
        </w:rPr>
        <w:t xml:space="preserve">補足: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医療データを実際に扱うのは最終モデルのフェーズである。したがって9/20版では規制対応を必須とせず、医療連携の要件定義時に、対象データの範囲・保存先・医療機関との契約・責任分界を改めて設計する。この段階で医療領域は AWS 等へ寄せる、あるいは医療データのみ分離して国内の対応済み基盤に置く、といった選択が可能。</w:t>
      </w:r>
    </w:p>
    <w:p>
      <w:r>
        <w:br w:type="page"/>
      </w:r>
    </w:p>
    <w:p>
      <w:pPr>
        <w:pStyle w:val="Heading1"/>
        <w:pBdr>
          <w:bottom w:val="single" w:color="1A9E6E" w:sz="12"/>
        </w:pBdr>
        <w:spacing w:after="120" w:before="260"/>
      </w:pPr>
      <w:r>
        <w:rPr>
          <w:rFonts w:ascii="Yu Gothic" w:cs="Yu Gothic" w:eastAsia="Yu Gothic" w:hAnsi="Yu Gothic"/>
          <w:b/>
          <w:bCs/>
          <w:i w:val="false"/>
          <w:iCs w:val="false"/>
          <w:color w:val="1E2761"/>
          <w:sz w:val="28"/>
          <w:szCs w:val="28"/>
        </w:rPr>
        <w:t xml:space="preserve">5. 推奨方針</w:t>
      </w:r>
    </w:p>
    <w:p>
      <w:pPr>
        <w:spacing w:after="100" w:before="0" w:line="276"/>
        <w:jc w:val="left"/>
      </w:pPr>
      <w:r>
        <w:rPr>
          <w:rFonts w:ascii="Yu Gothic" w:cs="Yu Gothic" w:eastAsia="Yu Gothic" w:hAnsi="Yu Gothic"/>
          <w:b/>
          <w:bCs/>
          <w:i w:val="false"/>
          <w:iCs w:val="false"/>
          <w:color w:val="1E2761"/>
          <w:sz w:val="20"/>
          <w:szCs w:val="20"/>
        </w:rPr>
        <w:t xml:space="preserve">結論: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「9/20版は構成A(Vercel + Supabase・東京リージョン)で軽量に開始し、最終モデルの医療連携フェーズで医療データ部分のみ規制対応基盤(AWS等)へ拡張する」二段構えを推奨する。</w:t>
      </w:r>
    </w:p>
    <w:p>
      <w:pPr>
        <w:pStyle w:val="Heading2"/>
        <w:spacing w:after="120" w:before="260"/>
      </w:pPr>
      <w:r>
        <w:rPr>
          <w:rFonts w:ascii="Yu Gothic" w:cs="Yu Gothic" w:eastAsia="Yu Gothic" w:hAnsi="Yu Gothic"/>
          <w:b/>
          <w:bCs/>
          <w:i w:val="false"/>
          <w:iCs w:val="false"/>
          <w:color w:val="1E2761"/>
          <w:sz w:val="24"/>
          <w:szCs w:val="24"/>
        </w:rPr>
        <w:t xml:space="preserve">5.1 フェーズ別の推奨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Yu Gothic" w:cs="Yu Gothic" w:eastAsia="Yu Gothic" w:hAnsi="Yu Gothic"/>
          <w:b/>
          <w:bCs/>
          <w:i w:val="false"/>
          <w:iCs w:val="false"/>
          <w:color w:val="222222"/>
          <w:sz w:val="20"/>
          <w:szCs w:val="20"/>
        </w:rPr>
        <w:t xml:space="preserve">9/20版(PoC):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構成A。医療データを扱わないため軽量・低コストで開始。Supabaseは東京リージョンを選択し、国内リージョン要件を満たす。月額 ¥0〜9,000。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Yu Gothic" w:cs="Yu Gothic" w:eastAsia="Yu Gothic" w:hAnsi="Yu Gothic"/>
          <w:b/>
          <w:bCs/>
          <w:i w:val="false"/>
          <w:iCs w:val="false"/>
          <w:color w:val="222222"/>
          <w:sz w:val="20"/>
          <w:szCs w:val="20"/>
        </w:rPr>
        <w:t xml:space="preserve">最終モデル(非医療機能):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構成Aを継続。複数店舗・AIコーチは同一基盤で対応可能。月額 ¥25,000〜45,000。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Yu Gothic" w:cs="Yu Gothic" w:eastAsia="Yu Gothic" w:hAnsi="Yu Gothic"/>
          <w:b/>
          <w:bCs/>
          <w:i w:val="false"/>
          <w:iCs w:val="false"/>
          <w:color w:val="222222"/>
          <w:sz w:val="20"/>
          <w:szCs w:val="20"/>
        </w:rPr>
        <w:t xml:space="preserve">最終モデル(医療・リハビリ連携):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医療データ部分を分離し、3省2ガイドライン対応の整った基盤(AWS等)へ配置。要件定義を別途実施し、契約・監査・暗号化を設計。</w:t>
      </w:r>
    </w:p>
    <w:p>
      <w:pPr>
        <w:pStyle w:val="Heading2"/>
        <w:spacing w:after="120" w:before="260"/>
      </w:pPr>
      <w:r>
        <w:rPr>
          <w:rFonts w:ascii="Yu Gothic" w:cs="Yu Gothic" w:eastAsia="Yu Gothic" w:hAnsi="Yu Gothic"/>
          <w:b/>
          <w:bCs/>
          <w:i w:val="false"/>
          <w:iCs w:val="false"/>
          <w:color w:val="1E2761"/>
          <w:sz w:val="24"/>
          <w:szCs w:val="24"/>
        </w:rPr>
        <w:t xml:space="preserve">5.2 この方針の利点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>初期の開発速度とコストを最優先しつつ、規制対応を「必要になった段階」で導入でき、PoCが過剰投資にならない。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>アプリ本体(Next.js)は共通のため、医療データ基盤を差し替えても画面・ロジックの作り直しが不要。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>医療データだけを分離配置することで、規制対応の範囲を最小化でき、コストと運用負荷を抑えられる。</w:t>
      </w:r>
    </w:p>
    <w:p>
      <w:pPr>
        <w:pStyle w:val="Heading2"/>
        <w:spacing w:after="120" w:before="260"/>
      </w:pPr>
      <w:r>
        <w:rPr>
          <w:rFonts w:ascii="Yu Gothic" w:cs="Yu Gothic" w:eastAsia="Yu Gothic" w:hAnsi="Yu Gothic"/>
          <w:b/>
          <w:bCs/>
          <w:i w:val="false"/>
          <w:iCs w:val="false"/>
          <w:color w:val="1E2761"/>
          <w:sz w:val="24"/>
          <w:szCs w:val="24"/>
        </w:rPr>
        <w:t xml:space="preserve">5.3 留意点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>構成Aは個人開発の責任範囲が相対的に大きい。医療連携フェーズでは責任分界の明確化が必須。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>医療情報の取扱いは法令・医療機関側の要件確認が前提であり、本書の評価は一般的な整理にとどまる。実際の対応可否は個別確認が必要。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>リージョンやサービスの対応状況は変動するため、医療連携の設計時点で最新情報を再確認する。</w:t>
      </w:r>
    </w:p>
    <w:p>
      <w:pPr>
        <w:pStyle w:val="Heading1"/>
        <w:pBdr>
          <w:bottom w:val="single" w:color="1A9E6E" w:sz="12"/>
        </w:pBdr>
        <w:spacing w:after="120" w:before="260"/>
      </w:pPr>
      <w:r>
        <w:rPr>
          <w:rFonts w:ascii="Yu Gothic" w:cs="Yu Gothic" w:eastAsia="Yu Gothic" w:hAnsi="Yu Gothic"/>
          <w:b/>
          <w:bCs/>
          <w:i w:val="false"/>
          <w:iCs w:val="false"/>
          <w:color w:val="1E2761"/>
          <w:sz w:val="28"/>
          <w:szCs w:val="28"/>
        </w:rPr>
        <w:t xml:space="preserve">6. 次のアクション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>推奨方針(9/20版=構成A)で問題ないかご判断いただく。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>確定後、Week 2 で構成Aの環境構築(Supabase東京・Vercel・CI/CD)に着手する。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>最終モデルの医療連携に進む際、別途「医療データ取扱い要件定義」を実施し、規制対応基盤を設計する。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Bdr>
          <w:top w:val="single" w:color="BFC5D2" w:sz="4"/>
          <w:bottom w:val="single" w:color="BFC5D2" w:sz="4"/>
          <w:left w:val="single" w:color="BFC5D2" w:sz="4"/>
          <w:right w:val="single" w:color="BFC5D2" w:sz="4"/>
        </w:pBdr>
        <w:spacing w:after="100" w:before="0" w:line="276"/>
        <w:jc w:val="left"/>
      </w:pPr>
      <w:r>
        <w:rPr>
          <w:rFonts w:ascii="Yu Gothic" w:cs="Yu Gothic" w:eastAsia="Yu Gothic" w:hAnsi="Yu Gothic"/>
          <w:b/>
          <w:bCs/>
          <w:i w:val="false"/>
          <w:iCs w:val="false"/>
          <w:color w:val="1E2761"/>
          <w:sz w:val="20"/>
          <w:szCs w:val="20"/>
        </w:rPr>
        <w:t xml:space="preserve">ご判断のお願い: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コスト最優先・国内リージョン確保・医療は後追い対応、という前提で構成Aを推奨しています。医療連携を早期に本格化させたい場合は、当初から構成B(AWS)を軸に組む選択もあります。方針をお知らせください。</w:t>
      </w:r>
    </w:p>
    <w:sectPr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FitGym</dc:creator>
  <cp:lastModifiedBy>Un-named</cp:lastModifiedBy>
  <cp:revision>1</cp:revision>
  <dcterms:created xsi:type="dcterms:W3CDTF">2026-07-31T05:13:13.745Z</dcterms:created>
  <dcterms:modified xsi:type="dcterms:W3CDTF">2026-07-31T05:13:13.768Z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