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jc w:val="center"/>
      </w:pPr>
      <w:r>
        <w:rPr>
          <w:b/>
          <w:bCs/>
          <w:color w:val="1F4E79"/>
          <w:sz w:val="28"/>
          <w:szCs w:val="28"/>
          <w:rFonts w:ascii="Arial" w:cs="Arial" w:eastAsia="Arial" w:hAnsi="Arial"/>
        </w:rPr>
        <w:t xml:space="preserve">PRISM Operations Inc.</w:t>
      </w:r>
    </w:p>
    <w:p>
      <w:pPr>
        <w:spacing w:before="480" w:after="0"/>
        <w:jc w:val="center"/>
      </w:pPr>
      <w:r>
        <w:rPr>
          <w:b/>
          <w:bCs/>
          <w:color w:val="1A1A1A"/>
          <w:sz w:val="48"/>
          <w:szCs w:val="48"/>
          <w:rFonts w:ascii="Arial" w:cs="Arial" w:eastAsia="Arial" w:hAnsi="Arial"/>
        </w:rPr>
        <w:t xml:space="preserve">SOC 2 Readiness Assessment</w:t>
      </w:r>
    </w:p>
    <w:p>
      <w:pPr>
        <w:spacing w:before="200" w:after="0"/>
        <w:jc w:val="center"/>
      </w:pPr>
      <w:r>
        <w:rPr>
          <w:color w:val="595959"/>
          <w:sz w:val="24"/>
          <w:szCs w:val="24"/>
          <w:rFonts w:ascii="Arial" w:cs="Arial" w:eastAsia="Arial" w:hAnsi="Arial"/>
        </w:rPr>
        <w:t xml:space="preserve">PRISM Platform v10.5.0  ·  July 24, 2026</w:t>
      </w:r>
    </w:p>
    <w:p>
      <w:pPr>
        <w:spacing w:before="600" w:after="200"/>
        <w:jc w:val="center"/>
      </w:pPr>
      <w:r>
        <w:rPr>
          <w:b/>
          <w:bCs/>
          <w:color w:val="1D6A35"/>
          <w:sz w:val="36"/>
          <w:szCs w:val="36"/>
          <w:rFonts w:ascii="Arial" w:cs="Arial" w:eastAsia="Arial" w:hAnsi="Arial"/>
        </w:rPr>
        <w:t xml:space="preserve">Overall Readiness Score: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CCCCCC" w:sz="1"/>
              <w:left w:val="single" w:color="CCCCCC" w:sz="1"/>
              <w:bottom w:val="single" w:color="CCCCCC" w:sz="1"/>
              <w:right w:val="single" w:color="CCCCCC" w:sz="1"/>
            </w:tcBorders>
            <w:shd w:fill="2E7D32" w:val="clear"/>
            <w:tcMar>
              <w:top w:type="dxa" w:w="80"/>
              <w:left w:type="dxa" w:w="20"/>
              <w:bottom w:type="dxa" w:w="80"/>
              <w:right w:type="dxa" w:w="20"/>
            </w:tcMar>
          </w:tcPr>
          <w:p>
            <w:pPr>
              <w:jc w:val="center"/>
            </w:pPr>
            <w:r>
              <w:rPr>
                <w:sz w:val="22"/>
                <w:szCs w:val="22"/>
              </w:rPr>
              <w:t xml:space="preserve"> </w:t>
            </w:r>
          </w:p>
        </w:tc>
        <w:tc>
          <w:tcPr>
            <w:tcW w:type="dxa" w:w="936"/>
            <w:tcBorders>
              <w:top w:val="single" w:color="CCCCCC" w:sz="1"/>
              <w:left w:val="single" w:color="CCCCCC" w:sz="1"/>
              <w:bottom w:val="single" w:color="CCCCCC" w:sz="1"/>
              <w:right w:val="single" w:color="CCCCCC" w:sz="1"/>
            </w:tcBorders>
            <w:shd w:fill="2E7D32" w:val="clear"/>
            <w:tcMar>
              <w:top w:type="dxa" w:w="80"/>
              <w:left w:type="dxa" w:w="20"/>
              <w:bottom w:type="dxa" w:w="80"/>
              <w:right w:type="dxa" w:w="20"/>
            </w:tcMar>
          </w:tcPr>
          <w:p>
            <w:pPr>
              <w:jc w:val="center"/>
            </w:pPr>
            <w:r>
              <w:rPr>
                <w:sz w:val="22"/>
                <w:szCs w:val="22"/>
              </w:rPr>
              <w:t xml:space="preserve"> </w:t>
            </w:r>
          </w:p>
        </w:tc>
        <w:tc>
          <w:tcPr>
            <w:tcW w:type="dxa" w:w="936"/>
            <w:tcBorders>
              <w:top w:val="single" w:color="CCCCCC" w:sz="1"/>
              <w:left w:val="single" w:color="CCCCCC" w:sz="1"/>
              <w:bottom w:val="single" w:color="CCCCCC" w:sz="1"/>
              <w:right w:val="single" w:color="CCCCCC" w:sz="1"/>
            </w:tcBorders>
            <w:shd w:fill="2E7D32" w:val="clear"/>
            <w:tcMar>
              <w:top w:type="dxa" w:w="80"/>
              <w:left w:type="dxa" w:w="20"/>
              <w:bottom w:type="dxa" w:w="80"/>
              <w:right w:type="dxa" w:w="20"/>
            </w:tcMar>
          </w:tcPr>
          <w:p>
            <w:pPr>
              <w:jc w:val="center"/>
            </w:pPr>
            <w:r>
              <w:rPr>
                <w:sz w:val="22"/>
                <w:szCs w:val="22"/>
              </w:rPr>
              <w:t xml:space="preserve"> </w:t>
            </w:r>
          </w:p>
        </w:tc>
        <w:tc>
          <w:tcPr>
            <w:tcW w:type="dxa" w:w="936"/>
            <w:tcBorders>
              <w:top w:val="single" w:color="CCCCCC" w:sz="1"/>
              <w:left w:val="single" w:color="CCCCCC" w:sz="1"/>
              <w:bottom w:val="single" w:color="CCCCCC" w:sz="1"/>
              <w:right w:val="single" w:color="CCCCCC" w:sz="1"/>
            </w:tcBorders>
            <w:shd w:fill="2E7D32" w:val="clear"/>
            <w:tcMar>
              <w:top w:type="dxa" w:w="80"/>
              <w:left w:type="dxa" w:w="20"/>
              <w:bottom w:type="dxa" w:w="80"/>
              <w:right w:type="dxa" w:w="20"/>
            </w:tcMar>
          </w:tcPr>
          <w:p>
            <w:pPr>
              <w:jc w:val="center"/>
            </w:pPr>
            <w:r>
              <w:rPr>
                <w:sz w:val="22"/>
                <w:szCs w:val="22"/>
              </w:rPr>
              <w:t xml:space="preserve"> </w:t>
            </w:r>
          </w:p>
        </w:tc>
        <w:tc>
          <w:tcPr>
            <w:tcW w:type="dxa" w:w="936"/>
            <w:tcBorders>
              <w:top w:val="single" w:color="CCCCCC" w:sz="1"/>
              <w:left w:val="single" w:color="CCCCCC" w:sz="1"/>
              <w:bottom w:val="single" w:color="CCCCCC" w:sz="1"/>
              <w:right w:val="single" w:color="CCCCCC" w:sz="1"/>
            </w:tcBorders>
            <w:shd w:fill="2E7D32" w:val="clear"/>
            <w:tcMar>
              <w:top w:type="dxa" w:w="80"/>
              <w:left w:type="dxa" w:w="20"/>
              <w:bottom w:type="dxa" w:w="80"/>
              <w:right w:type="dxa" w:w="20"/>
            </w:tcMar>
          </w:tcPr>
          <w:p>
            <w:pPr>
              <w:jc w:val="center"/>
            </w:pPr>
            <w:r>
              <w:rPr>
                <w:sz w:val="22"/>
                <w:szCs w:val="22"/>
              </w:rPr>
              <w:t xml:space="preserve"> </w:t>
            </w:r>
          </w:p>
        </w:tc>
        <w:tc>
          <w:tcPr>
            <w:tcW w:type="dxa" w:w="936"/>
            <w:tcBorders>
              <w:top w:val="single" w:color="CCCCCC" w:sz="1"/>
              <w:left w:val="single" w:color="CCCCCC" w:sz="1"/>
              <w:bottom w:val="single" w:color="CCCCCC" w:sz="1"/>
              <w:right w:val="single" w:color="CCCCCC" w:sz="1"/>
            </w:tcBorders>
            <w:shd w:fill="2E7D32" w:val="clear"/>
            <w:tcMar>
              <w:top w:type="dxa" w:w="80"/>
              <w:left w:type="dxa" w:w="20"/>
              <w:bottom w:type="dxa" w:w="80"/>
              <w:right w:type="dxa" w:w="20"/>
            </w:tcMar>
          </w:tcPr>
          <w:p>
            <w:pPr>
              <w:jc w:val="center"/>
            </w:pPr>
            <w:r>
              <w:rPr>
                <w:sz w:val="22"/>
                <w:szCs w:val="22"/>
              </w:rPr>
              <w:t xml:space="preserve"> </w:t>
            </w:r>
          </w:p>
        </w:tc>
        <w:tc>
          <w:tcPr>
            <w:tcW w:type="dxa" w:w="936"/>
            <w:tcBorders>
              <w:top w:val="single" w:color="CCCCCC" w:sz="1"/>
              <w:left w:val="single" w:color="CCCCCC" w:sz="1"/>
              <w:bottom w:val="single" w:color="CCCCCC" w:sz="1"/>
              <w:right w:val="single" w:color="CCCCCC" w:sz="1"/>
            </w:tcBorders>
            <w:shd w:fill="2E7D32" w:val="clear"/>
            <w:tcMar>
              <w:top w:type="dxa" w:w="80"/>
              <w:left w:type="dxa" w:w="20"/>
              <w:bottom w:type="dxa" w:w="80"/>
              <w:right w:type="dxa" w:w="20"/>
            </w:tcMar>
          </w:tcPr>
          <w:p>
            <w:pPr>
              <w:jc w:val="center"/>
            </w:pPr>
            <w:r>
              <w:rPr>
                <w:sz w:val="22"/>
                <w:szCs w:val="22"/>
              </w:rPr>
              <w:t xml:space="preserve"> </w:t>
            </w:r>
          </w:p>
        </w:tc>
        <w:tc>
          <w:tcPr>
            <w:tcW w:type="dxa" w:w="936"/>
            <w:tcBorders>
              <w:top w:val="single" w:color="CCCCCC" w:sz="1"/>
              <w:left w:val="single" w:color="CCCCCC" w:sz="1"/>
              <w:bottom w:val="single" w:color="CCCCCC" w:sz="1"/>
              <w:right w:val="single" w:color="CCCCCC" w:sz="1"/>
            </w:tcBorders>
            <w:shd w:fill="E0E0E0" w:val="clear"/>
            <w:tcMar>
              <w:top w:type="dxa" w:w="80"/>
              <w:left w:type="dxa" w:w="20"/>
              <w:bottom w:type="dxa" w:w="80"/>
              <w:right w:type="dxa" w:w="20"/>
            </w:tcMar>
          </w:tcPr>
          <w:p>
            <w:pPr>
              <w:jc w:val="center"/>
            </w:pPr>
            <w:r>
              <w:rPr>
                <w:sz w:val="22"/>
                <w:szCs w:val="22"/>
              </w:rPr>
              <w:t xml:space="preserve"> </w:t>
            </w:r>
          </w:p>
        </w:tc>
        <w:tc>
          <w:tcPr>
            <w:tcW w:type="dxa" w:w="936"/>
            <w:tcBorders>
              <w:top w:val="single" w:color="CCCCCC" w:sz="1"/>
              <w:left w:val="single" w:color="CCCCCC" w:sz="1"/>
              <w:bottom w:val="single" w:color="CCCCCC" w:sz="1"/>
              <w:right w:val="single" w:color="CCCCCC" w:sz="1"/>
            </w:tcBorders>
            <w:shd w:fill="E0E0E0" w:val="clear"/>
            <w:tcMar>
              <w:top w:type="dxa" w:w="80"/>
              <w:left w:type="dxa" w:w="20"/>
              <w:bottom w:type="dxa" w:w="80"/>
              <w:right w:type="dxa" w:w="20"/>
            </w:tcMar>
          </w:tcPr>
          <w:p>
            <w:pPr>
              <w:jc w:val="center"/>
            </w:pPr>
            <w:r>
              <w:rPr>
                <w:sz w:val="22"/>
                <w:szCs w:val="22"/>
              </w:rPr>
              <w:t xml:space="preserve"> </w:t>
            </w:r>
          </w:p>
        </w:tc>
        <w:tc>
          <w:tcPr>
            <w:tcW w:type="dxa" w:w="936"/>
            <w:tcBorders>
              <w:top w:val="single" w:color="CCCCCC" w:sz="1"/>
              <w:left w:val="single" w:color="CCCCCC" w:sz="1"/>
              <w:bottom w:val="single" w:color="CCCCCC" w:sz="1"/>
              <w:right w:val="single" w:color="CCCCCC" w:sz="1"/>
            </w:tcBorders>
            <w:shd w:fill="E0E0E0" w:val="clear"/>
            <w:tcMar>
              <w:top w:type="dxa" w:w="80"/>
              <w:left w:type="dxa" w:w="20"/>
              <w:bottom w:type="dxa" w:w="80"/>
              <w:right w:type="dxa" w:w="20"/>
            </w:tcMar>
          </w:tcPr>
          <w:p>
            <w:pPr>
              <w:jc w:val="center"/>
            </w:pPr>
            <w:r>
              <w:rPr>
                <w:sz w:val="22"/>
                <w:szCs w:val="22"/>
              </w:rPr>
              <w:t xml:space="preserve"> </w:t>
            </w:r>
          </w:p>
        </w:tc>
      </w:tr>
    </w:tbl>
    <w:p>
      <w:pPr>
        <w:spacing w:before="200" w:after="0"/>
        <w:jc w:val="center"/>
      </w:pPr>
      <w:r>
        <w:rPr>
          <w:color w:val="595959"/>
          <w:sz w:val="22"/>
          <w:szCs w:val="22"/>
          <w:rFonts w:ascii="Arial" w:cs="Arial" w:eastAsia="Arial" w:hAnsi="Arial"/>
        </w:rPr>
        <w:t xml:space="preserve">14 Implemented  ·  14 Partial  ·  2 Gaps  ·  30 Total Controls</w:t>
      </w:r>
    </w:p>
    <w:p>
      <w:r>
        <w:br w:type="page"/>
      </w:r>
    </w:p>
    <w:p>
      <w:pPr>
        <w:pStyle w:val="Heading1"/>
        <w:pBdr>
          <w:bottom w:val="single" w:color="1F4E79" w:sz="4" w:space="4"/>
        </w:pBdr>
        <w:spacing w:before="360" w:after="120"/>
      </w:pPr>
      <w:r>
        <w:rPr>
          <w:b/>
          <w:bCs/>
          <w:color w:val="1F4E79"/>
          <w:sz w:val="32"/>
          <w:szCs w:val="32"/>
          <w:rFonts w:ascii="Arial" w:cs="Arial" w:eastAsia="Arial" w:hAnsi="Arial"/>
        </w:rPr>
        <w:t xml:space="preserve">Executive Summary</w:t>
      </w:r>
    </w:p>
    <w:p>
      <w:pPr>
        <w:spacing w:before="60" w:after="100"/>
      </w:pPr>
      <w:r>
        <w:rPr>
          <w:color w:val="333333"/>
          <w:sz w:val="22"/>
          <w:szCs w:val="22"/>
          <w:rFonts w:ascii="Arial" w:cs="Arial" w:eastAsia="Arial" w:hAnsi="Arial"/>
        </w:rPr>
        <w:t xml:space="preserve">This report assesses PRISM's readiness against the AICPA SOC 2 Trust Services Criteria as of July 24, 2026. It covers 30 controls across the Common Criteria (CC), Availability (A), and Privacy (PI) categories.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6A35" w:val="clear"/>
            <w:tcMar>
              <w:top w:type="dxa" w:w="80"/>
              <w:left w:type="dxa" w:w="120"/>
              <w:bottom w:type="dxa" w:w="80"/>
              <w:right w:type="dxa" w:w="120"/>
            </w:tcMar>
          </w:tcPr>
          <w:p>
            <w:r>
              <w:rPr>
                <w:b/>
                <w:bCs/>
                <w:color w:val="FFFFFF"/>
                <w:sz w:val="19"/>
                <w:szCs w:val="19"/>
                <w:rFonts w:ascii="Arial" w:cs="Arial" w:eastAsia="Arial" w:hAnsi="Arial"/>
              </w:rPr>
              <w:t xml:space="preserve">Implemented</w:t>
            </w:r>
          </w:p>
        </w:tc>
        <w:tc>
          <w:tcPr>
            <w:tcW w:type="dxa" w:w="234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b/>
                <w:bCs/>
                <w:color w:val="FFFFFF"/>
                <w:sz w:val="19"/>
                <w:szCs w:val="19"/>
                <w:rFonts w:ascii="Arial" w:cs="Arial" w:eastAsia="Arial" w:hAnsi="Arial"/>
              </w:rPr>
              <w:t xml:space="preserve">Partial</w:t>
            </w:r>
          </w:p>
        </w:tc>
        <w:tc>
          <w:tcPr>
            <w:tcW w:type="dxa" w:w="234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b/>
                <w:bCs/>
                <w:color w:val="FFFFFF"/>
                <w:sz w:val="19"/>
                <w:szCs w:val="19"/>
                <w:rFonts w:ascii="Arial" w:cs="Arial" w:eastAsia="Arial" w:hAnsi="Arial"/>
              </w:rPr>
              <w:t xml:space="preserve">Gaps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Overall Score</w:t>
            </w:r>
          </w:p>
        </w:tc>
      </w:tr>
      <w:tr>
        <w:tc>
          <w:tcPr>
            <w:tcW w:type="dxa" w:w="234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14 controls</w:t>
            </w:r>
          </w:p>
        </w:tc>
        <w:tc>
          <w:tcPr>
            <w:tcW w:type="dxa" w:w="234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14 controls</w:t>
            </w:r>
          </w:p>
        </w:tc>
        <w:tc>
          <w:tcPr>
            <w:tcW w:type="dxa" w:w="2340"/>
            <w:tcBorders>
              <w:top w:val="single" w:color="CCCCCC" w:sz="1"/>
              <w:left w:val="single" w:color="CCCCCC" w:sz="1"/>
              <w:bottom w:val="single" w:color="CCCCCC" w:sz="1"/>
              <w:right w:val="single" w:color="CCCCCC" w:sz="1"/>
            </w:tcBorders>
            <w:shd w:fill="FFF4F4" w:val="clear"/>
            <w:tcMar>
              <w:top w:type="dxa" w:w="80"/>
              <w:left w:type="dxa" w:w="120"/>
              <w:bottom w:type="dxa" w:w="80"/>
              <w:right w:type="dxa" w:w="120"/>
            </w:tcMar>
          </w:tcPr>
          <w:p>
            <w:r>
              <w:rPr>
                <w:color w:val="333333"/>
                <w:sz w:val="19"/>
                <w:szCs w:val="19"/>
                <w:rFonts w:ascii="Arial" w:cs="Arial" w:eastAsia="Arial" w:hAnsi="Arial"/>
              </w:rPr>
              <w:t xml:space="preserve">2 controls</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333333"/>
                <w:sz w:val="19"/>
                <w:szCs w:val="19"/>
                <w:rFonts w:ascii="Arial" w:cs="Arial" w:eastAsia="Arial" w:hAnsi="Arial"/>
              </w:rPr>
              <w:t xml:space="preserve">70%</w:t>
            </w:r>
          </w:p>
        </w:tc>
      </w:tr>
    </w:tbl>
    <w:p>
      <w:pPr>
        <w:spacing w:before="120" w:after="0"/>
      </w:pPr>
      <w:r>
        <w:t xml:space="preserve"/>
      </w:r>
    </w:p>
    <w:p>
      <w:pPr>
        <w:spacing w:before="60" w:after="100"/>
      </w:pPr>
      <w:r>
        <w:rPr>
          <w:color w:val="333333"/>
          <w:sz w:val="22"/>
          <w:szCs w:val="22"/>
          <w:rFonts w:ascii="Arial" w:cs="Arial" w:eastAsia="Arial" w:hAnsi="Arial"/>
        </w:rPr>
        <w:t xml:space="preserve">Technical controls (authentication, encryption, RBAC, audit logging, multi-tenant isolation, health checks) are fully implemented. The remaining gaps are organizational — policies, training, monitoring, and DR testing — which are addressed by the policy document suite in docs/policies/.</w:t>
      </w:r>
    </w:p>
    <w:p>
      <w:pPr>
        <w:spacing w:before="60" w:after="100"/>
      </w:pPr>
      <w:r>
        <w:rPr>
          <w:color w:val="333333"/>
          <w:sz w:val="22"/>
          <w:szCs w:val="22"/>
          <w:rFonts w:ascii="Arial" w:cs="Arial" w:eastAsia="Arial" w:hAnsi="Arial"/>
        </w:rPr>
        <w:t xml:space="preserve">Policy document stubs have been generated for all 11 organizational controls. These documents require review, completion of TODO items, and executive sign-off before they can be presented as evidence to a SOC 2 auditor.</w:t>
      </w:r>
    </w:p>
    <w:p>
      <w:r>
        <w:br w:type="page"/>
      </w:r>
    </w:p>
    <w:p>
      <w:pPr>
        <w:pStyle w:val="Heading1"/>
        <w:pBdr>
          <w:bottom w:val="single" w:color="1F4E79" w:sz="4" w:space="4"/>
        </w:pBdr>
        <w:spacing w:before="360" w:after="120"/>
      </w:pPr>
      <w:r>
        <w:rPr>
          <w:b/>
          <w:bCs/>
          <w:color w:val="1F4E79"/>
          <w:sz w:val="32"/>
          <w:szCs w:val="32"/>
          <w:rFonts w:ascii="Arial" w:cs="Arial" w:eastAsia="Arial" w:hAnsi="Arial"/>
        </w:rPr>
        <w:t xml:space="preserve">Priority Remediation Roadmap</w:t>
      </w:r>
    </w:p>
    <w:p>
      <w:pPr>
        <w:spacing w:before="60" w:after="100"/>
      </w:pPr>
      <w:r>
        <w:rPr>
          <w:color w:val="333333"/>
          <w:sz w:val="22"/>
          <w:szCs w:val="22"/>
          <w:rFonts w:ascii="Arial" w:cs="Arial" w:eastAsia="Arial" w:hAnsi="Arial"/>
        </w:rPr>
        <w:t xml:space="preserve">To achieve SOC 2 Type I readiness, the following actions are recommended in priority order: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Action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Owner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Timeline</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1</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Sign off all 11 policy stubs (review, complete TODOs, get signatures)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CEO + Security Lead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30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Deploy APM + alerting (Datadog/New Relic) and configure PagerDuty on-call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Head of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30 days</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3</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Publish responsible disclosure policy and security@ contact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Security Lead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14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Conduct first security awareness training for all staff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Security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45 days</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5</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Complete data inventory (classify and map all data types to storage)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Security Lead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45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Commission first penetration test (external firm)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CTO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60 days</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7</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Run first DR tabletop exercise; document results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Head of Engineering</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60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Establish quarterly access review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IT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60 days</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9</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Engage Vanta/Drata for continuous evidence collection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CEO</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color w:val="333333"/>
                <w:sz w:val="19"/>
                <w:szCs w:val="19"/>
                <w:rFonts w:ascii="Arial" w:cs="Arial" w:eastAsia="Arial" w:hAnsi="Arial"/>
              </w:rPr>
              <w:t xml:space="preserve">90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Engage SOC 2 auditor and target Type I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CEO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Fonts w:ascii="Arial" w:cs="Arial" w:eastAsia="Arial" w:hAnsi="Arial"/>
              </w:rPr>
              <w:t xml:space="preserve">90–120 days</w:t>
            </w:r>
          </w:p>
        </w:tc>
      </w:tr>
    </w:tbl>
    <w:p>
      <w:r>
        <w:br w:type="page"/>
      </w:r>
    </w:p>
    <w:p>
      <w:pPr>
        <w:pStyle w:val="Heading1"/>
        <w:pBdr>
          <w:bottom w:val="single" w:color="1F4E79" w:sz="4" w:space="4"/>
        </w:pBdr>
        <w:spacing w:before="360" w:after="120"/>
      </w:pPr>
      <w:r>
        <w:rPr>
          <w:b/>
          <w:bCs/>
          <w:color w:val="1F4E79"/>
          <w:sz w:val="32"/>
          <w:szCs w:val="32"/>
          <w:rFonts w:ascii="Arial" w:cs="Arial" w:eastAsia="Arial" w:hAnsi="Arial"/>
        </w:rPr>
        <w:t xml:space="preserve">Controls Detail</w:t>
      </w:r>
    </w:p>
    <w:p>
      <w:pPr>
        <w:spacing w:before="60" w:after="100"/>
      </w:pPr>
      <w:r>
        <w:rPr>
          <w:color w:val="333333"/>
          <w:sz w:val="22"/>
          <w:szCs w:val="22"/>
          <w:rFonts w:ascii="Arial" w:cs="Arial" w:eastAsia="Arial" w:hAnsi="Arial"/>
        </w:rPr>
        <w:t xml:space="preserve">The following tables document the status of all controls by category. Green rows are fully implemented. Amber rows have partial implementation with stubs or code in place. Red rows are gaps requiring action.</w:t>
      </w:r>
    </w:p>
    <w:p>
      <w:pPr>
        <w:spacing w:before="120" w:after="0"/>
      </w:pPr>
      <w:r>
        <w:t xml:space="preserve"/>
      </w:r>
    </w:p>
    <w:p>
      <w:pPr>
        <w:pStyle w:val="Heading2"/>
        <w:spacing w:before="240" w:after="80"/>
      </w:pPr>
      <w:r>
        <w:rPr>
          <w:b/>
          <w:bCs/>
          <w:color w:val="2E74B5"/>
          <w:sz w:val="26"/>
          <w:szCs w:val="26"/>
          <w:rFonts w:ascii="Arial" w:cs="Arial" w:eastAsia="Arial" w:hAnsi="Arial"/>
        </w:rPr>
        <w:t xml:space="preserve">Control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CC1.1</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Security Policies</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stubs exist in docs/policies/; require executive sign-off and annual review cycle.</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CC1.2</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Roles &amp; Responsibilities</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src/middleware/auth.ts</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CC2.1</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Internal Communication of Policies</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documents exist; formal distribution and acknowledgement tracking not yet implemented.</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CC2.2</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External Communication</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SSO metadata endpoint (SP metadata XML) is now published per org. A public trust page, privacy policy, and terms of service are still pending executive sign-off.</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CC3.1</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Risk Identification</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Risk register process documented in policy stubs. Formal annual risk assessment cycle and executive sign-off not yet completed.</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CC3.2</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Risk Mitigation</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v10.5 addresses key technical risks: RLS (CC6.3), MFA (CC6.1), session revocation (CC6.7), audit streaming (CC7.4). Formal risk register and annual review cycle still needed.</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CC4.1</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Performance Monitoring</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src/index.ts, src/services/auditStream.ts</w:t>
            </w:r>
          </w:p>
        </w:tc>
      </w:tr>
      <w:tr>
        <w:tc>
          <w:tcPr>
            <w:tcW w:type="dxa" w:w="1200"/>
            <w:tcBorders>
              <w:top w:val="single" w:color="CCCCCC" w:sz="1"/>
              <w:left w:val="single" w:color="CCCCCC" w:sz="1"/>
              <w:bottom w:val="single" w:color="CCCCCC" w:sz="1"/>
              <w:right w:val="single" w:color="CCCCCC" w:sz="1"/>
            </w:tcBorders>
            <w:shd w:fill="FFF4F4" w:val="clear"/>
            <w:tcMar>
              <w:top w:type="dxa" w:w="80"/>
              <w:left w:type="dxa" w:w="120"/>
              <w:bottom w:type="dxa" w:w="80"/>
              <w:right w:type="dxa" w:w="120"/>
            </w:tcMar>
          </w:tcPr>
          <w:p>
            <w:r>
              <w:rPr>
                <w:color w:val="333333"/>
                <w:sz w:val="19"/>
                <w:szCs w:val="19"/>
                <w:rFonts w:ascii="Arial" w:cs="Arial" w:eastAsia="Arial" w:hAnsi="Arial"/>
              </w:rPr>
              <w:t xml:space="preserve">CC4.2</w:t>
            </w:r>
          </w:p>
        </w:tc>
        <w:tc>
          <w:tcPr>
            <w:tcW w:type="dxa" w:w="3360"/>
            <w:tcBorders>
              <w:top w:val="single" w:color="CCCCCC" w:sz="1"/>
              <w:left w:val="single" w:color="CCCCCC" w:sz="1"/>
              <w:bottom w:val="single" w:color="CCCCCC" w:sz="1"/>
              <w:right w:val="single" w:color="CCCCCC" w:sz="1"/>
            </w:tcBorders>
            <w:shd w:fill="FFF4F4" w:val="clear"/>
            <w:tcMar>
              <w:top w:type="dxa" w:w="80"/>
              <w:left w:type="dxa" w:w="120"/>
              <w:bottom w:type="dxa" w:w="80"/>
              <w:right w:type="dxa" w:w="120"/>
            </w:tcMar>
          </w:tcPr>
          <w:p>
            <w:r>
              <w:rPr>
                <w:color w:val="333333"/>
                <w:sz w:val="19"/>
                <w:szCs w:val="19"/>
                <w:rFonts w:ascii="Arial" w:cs="Arial" w:eastAsia="Arial" w:hAnsi="Arial"/>
              </w:rPr>
              <w:t xml:space="preserve">Continuous Control Monitoring</w:t>
            </w:r>
          </w:p>
        </w:tc>
        <w:tc>
          <w:tcPr>
            <w:tcW w:type="dxa" w:w="1680"/>
            <w:tcBorders>
              <w:top w:val="single" w:color="CCCCCC" w:sz="1"/>
              <w:left w:val="single" w:color="CCCCCC" w:sz="1"/>
              <w:bottom w:val="single" w:color="CCCCCC" w:sz="1"/>
              <w:right w:val="single" w:color="CCCCCC" w:sz="1"/>
            </w:tcBorders>
            <w:shd w:fill="FFF4F4" w:val="clear"/>
            <w:tcMar>
              <w:top w:type="dxa" w:w="80"/>
              <w:left w:type="dxa" w:w="120"/>
              <w:bottom w:type="dxa" w:w="80"/>
              <w:right w:type="dxa" w:w="120"/>
            </w:tcMar>
          </w:tcPr>
          <w:p>
            <w:r>
              <w:rPr>
                <w:color w:val="333333"/>
                <w:sz w:val="19"/>
                <w:szCs w:val="19"/>
                <w:rFonts w:ascii="Arial" w:cs="Arial" w:eastAsia="Arial" w:hAnsi="Arial"/>
              </w:rPr>
              <w:t xml:space="preserve">❌ Gap</w:t>
            </w:r>
          </w:p>
        </w:tc>
        <w:tc>
          <w:tcPr>
            <w:tcW w:type="dxa" w:w="3120"/>
            <w:tcBorders>
              <w:top w:val="single" w:color="CCCCCC" w:sz="1"/>
              <w:left w:val="single" w:color="CCCCCC" w:sz="1"/>
              <w:bottom w:val="single" w:color="CCCCCC" w:sz="1"/>
              <w:right w:val="single" w:color="CCCCCC" w:sz="1"/>
            </w:tcBorders>
            <w:shd w:fill="FFF4F4" w:val="clear"/>
            <w:tcMar>
              <w:top w:type="dxa" w:w="80"/>
              <w:left w:type="dxa" w:w="120"/>
              <w:bottom w:type="dxa" w:w="80"/>
              <w:right w:type="dxa" w:w="120"/>
            </w:tcMar>
          </w:tcPr>
          <w:p>
            <w:r>
              <w:rPr>
                <w:color w:val="333333"/>
                <w:sz w:val="19"/>
                <w:szCs w:val="19"/>
                <w:rFonts w:ascii="Arial" w:cs="Arial" w:eastAsia="Arial" w:hAnsi="Arial"/>
              </w:rPr>
              <w:t xml:space="preserve">Recommend Vanta or Drata for automated evidence collection.</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Control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CC5.1</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Change Management</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stub exists. Formal PR review gates, staging environment, and rollback procedure need documentation.</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CC5.2</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Vendor Management</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stub exists. Vendor inventory, risk tiering, and annual review not yet formalized.</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Logical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CC6.1</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Authentication &amp; MFA</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src/routes/auth.ts, src/services/mfa.ts, src/services/crypto.ts</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CC6.2</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Role-Based Access Control</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src/middleware/auth.ts</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CC6.3</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Multi-Tenant Data Isolation</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prisma/migrations/001_rls_policies.sql, src/middleware/tenantContext.ts, src/services/db.ts, src/middleware/subdomain.ts</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CC6.4</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Encryption at Rest</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src/services/crypto.ts</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CC6.5</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Encryption in Transit</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src/middleware/securityHeaders.ts</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CC6.6</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Access Review Process</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src/routes/admin.ts</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CC6.7</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Employee Offboarding</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src/routes/admin.ts, src/services/sessions.ts, src/routes/apikeys.ts</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System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CC7.1</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Vulnerability Management</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stub exists. npm audit in CI; formal pen-test schedule not yet established.</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CC7.2</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Incident Response</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stub exists. Runbook and on-call rotation not yet formalized.</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CC7.3</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Monitoring &amp; Alerting</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src/index.ts, src/env.ts</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CC7.4</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Tamper-Evident Audit Log</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Audit logs are written to Postgres with hash chaining. External streaming to S3 WORM bucket is implemented in src/services/auditStream.ts and activated when S3_AUDIT_BUCKET is configured.</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CC7.5</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Security Headers &amp; CSP</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src/middleware/securityHeaders.ts</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CC7.6</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Rate Limiting &amp; DDoS Protection</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src/app.ts</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CC8.1</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Secure SDLC</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No formal threat modelling or security sign-off on releases yet.</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CC9.1</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Business Continuity / DR</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stub exists. RTO/RPO targets defined. Audit log streaming to S3 WORM (CC7.4) provides immutable offsite backup. Full DR tabletop exercise not yet conducted; schedule within 60 days.</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CC9.2</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Backup &amp; Recovery</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stub exists. Postgres automated backups must be configured in production.</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A1.1</w:t>
            </w:r>
          </w:p>
        </w:tc>
        <w:tc>
          <w:tcPr>
            <w:tcW w:type="dxa" w:w="33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Health Checks &amp; Readiness Probes</w:t>
            </w:r>
          </w:p>
        </w:tc>
        <w:tc>
          <w:tcPr>
            <w:tcW w:type="dxa" w:w="168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 Implemented</w:t>
            </w:r>
          </w:p>
        </w:tc>
        <w:tc>
          <w:tcPr>
            <w:tcW w:type="dxa" w:w="312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color w:val="333333"/>
                <w:sz w:val="19"/>
                <w:szCs w:val="19"/>
                <w:rFonts w:ascii="Arial" w:cs="Arial" w:eastAsia="Arial" w:hAnsi="Arial"/>
              </w:rPr>
              <w:t xml:space="preserve">src/app.ts</w:t>
            </w:r>
          </w:p>
        </w:tc>
      </w:tr>
      <w:tr>
        <w:tc>
          <w:tcPr>
            <w:tcW w:type="dxa" w:w="1200"/>
            <w:tcBorders>
              <w:top w:val="single" w:color="CCCCCC" w:sz="1"/>
              <w:left w:val="single" w:color="CCCCCC" w:sz="1"/>
              <w:bottom w:val="single" w:color="CCCCCC" w:sz="1"/>
              <w:right w:val="single" w:color="CCCCCC" w:sz="1"/>
            </w:tcBorders>
            <w:shd w:fill="FFF4F4" w:val="clear"/>
            <w:tcMar>
              <w:top w:type="dxa" w:w="80"/>
              <w:left w:type="dxa" w:w="120"/>
              <w:bottom w:type="dxa" w:w="80"/>
              <w:right w:type="dxa" w:w="120"/>
            </w:tcMar>
          </w:tcPr>
          <w:p>
            <w:r>
              <w:rPr>
                <w:color w:val="333333"/>
                <w:sz w:val="19"/>
                <w:szCs w:val="19"/>
                <w:rFonts w:ascii="Arial" w:cs="Arial" w:eastAsia="Arial" w:hAnsi="Arial"/>
              </w:rPr>
              <w:t xml:space="preserve">A1.2</w:t>
            </w:r>
          </w:p>
        </w:tc>
        <w:tc>
          <w:tcPr>
            <w:tcW w:type="dxa" w:w="3360"/>
            <w:tcBorders>
              <w:top w:val="single" w:color="CCCCCC" w:sz="1"/>
              <w:left w:val="single" w:color="CCCCCC" w:sz="1"/>
              <w:bottom w:val="single" w:color="CCCCCC" w:sz="1"/>
              <w:right w:val="single" w:color="CCCCCC" w:sz="1"/>
            </w:tcBorders>
            <w:shd w:fill="FFF4F4" w:val="clear"/>
            <w:tcMar>
              <w:top w:type="dxa" w:w="80"/>
              <w:left w:type="dxa" w:w="120"/>
              <w:bottom w:type="dxa" w:w="80"/>
              <w:right w:type="dxa" w:w="120"/>
            </w:tcMar>
          </w:tcPr>
          <w:p>
            <w:r>
              <w:rPr>
                <w:color w:val="333333"/>
                <w:sz w:val="19"/>
                <w:szCs w:val="19"/>
                <w:rFonts w:ascii="Arial" w:cs="Arial" w:eastAsia="Arial" w:hAnsi="Arial"/>
              </w:rPr>
              <w:t xml:space="preserve">SLA &amp; Uptime Commitment</w:t>
            </w:r>
          </w:p>
        </w:tc>
        <w:tc>
          <w:tcPr>
            <w:tcW w:type="dxa" w:w="1680"/>
            <w:tcBorders>
              <w:top w:val="single" w:color="CCCCCC" w:sz="1"/>
              <w:left w:val="single" w:color="CCCCCC" w:sz="1"/>
              <w:bottom w:val="single" w:color="CCCCCC" w:sz="1"/>
              <w:right w:val="single" w:color="CCCCCC" w:sz="1"/>
            </w:tcBorders>
            <w:shd w:fill="FFF4F4" w:val="clear"/>
            <w:tcMar>
              <w:top w:type="dxa" w:w="80"/>
              <w:left w:type="dxa" w:w="120"/>
              <w:bottom w:type="dxa" w:w="80"/>
              <w:right w:type="dxa" w:w="120"/>
            </w:tcMar>
          </w:tcPr>
          <w:p>
            <w:r>
              <w:rPr>
                <w:color w:val="333333"/>
                <w:sz w:val="19"/>
                <w:szCs w:val="19"/>
                <w:rFonts w:ascii="Arial" w:cs="Arial" w:eastAsia="Arial" w:hAnsi="Arial"/>
              </w:rPr>
              <w:t xml:space="preserve">❌ Gap</w:t>
            </w:r>
          </w:p>
        </w:tc>
        <w:tc>
          <w:tcPr>
            <w:tcW w:type="dxa" w:w="3120"/>
            <w:tcBorders>
              <w:top w:val="single" w:color="CCCCCC" w:sz="1"/>
              <w:left w:val="single" w:color="CCCCCC" w:sz="1"/>
              <w:bottom w:val="single" w:color="CCCCCC" w:sz="1"/>
              <w:right w:val="single" w:color="CCCCCC" w:sz="1"/>
            </w:tcBorders>
            <w:shd w:fill="FFF4F4" w:val="clear"/>
            <w:tcMar>
              <w:top w:type="dxa" w:w="80"/>
              <w:left w:type="dxa" w:w="120"/>
              <w:bottom w:type="dxa" w:w="80"/>
              <w:right w:type="dxa" w:w="120"/>
            </w:tcMar>
          </w:tcPr>
          <w:p>
            <w:r>
              <w:rPr>
                <w:color w:val="333333"/>
                <w:sz w:val="19"/>
                <w:szCs w:val="19"/>
                <w:rFonts w:ascii="Arial" w:cs="Arial" w:eastAsia="Arial" w:hAnsi="Arial"/>
              </w:rPr>
              <w:t xml:space="preserve">No published SLA, status page, or uptime monitoring configured.</w:t>
            </w:r>
          </w:p>
        </w:tc>
      </w:tr>
    </w:tbl>
    <w:p>
      <w:pPr>
        <w:spacing w:before="120" w:after="0"/>
      </w:pPr>
      <w:r>
        <w:t xml:space="preserve"/>
      </w:r>
    </w:p>
    <w:p>
      <w:pPr>
        <w:pStyle w:val="Heading2"/>
        <w:spacing w:before="240" w:after="80"/>
      </w:pPr>
      <w:r>
        <w:rPr>
          <w:b/>
          <w:bCs/>
          <w:color w:val="2E74B5"/>
          <w:sz w:val="26"/>
          <w:szCs w:val="26"/>
          <w:rFonts w:ascii="Arial" w:cs="Arial" w:eastAsia="Arial" w:hAnsi="Arial"/>
        </w:rPr>
        <w:t xml:space="preserve">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680"/>
        <w:gridCol w:w="31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Control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Title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Fonts w:ascii="Arial" w:cs="Arial" w:eastAsia="Arial" w:hAnsi="Arial"/>
              </w:rPr>
              <w:t xml:space="preserve">Gap / Code Reference</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PI1.1</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Data Classification Policy</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stub exists. Data inventory and classification tags not yet applied.</w:t>
            </w:r>
          </w:p>
        </w:tc>
      </w:tr>
      <w:tr>
        <w:tc>
          <w:tcPr>
            <w:tcW w:type="dxa" w:w="1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PI1.2</w:t>
            </w:r>
          </w:p>
        </w:tc>
        <w:tc>
          <w:tcPr>
            <w:tcW w:type="dxa" w:w="33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Security Awareness Training</w:t>
            </w:r>
          </w:p>
        </w:tc>
        <w:tc>
          <w:tcPr>
            <w:tcW w:type="dxa" w:w="1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  Partial</w:t>
            </w:r>
          </w:p>
        </w:tc>
        <w:tc>
          <w:tcPr>
            <w:tcW w:type="dxa" w:w="312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color w:val="333333"/>
                <w:sz w:val="19"/>
                <w:szCs w:val="19"/>
                <w:rFonts w:ascii="Arial" w:cs="Arial" w:eastAsia="Arial" w:hAnsi="Arial"/>
              </w:rPr>
              <w:t xml:space="preserve">Policy stub exists. Annual training programme not yet scheduled.</w:t>
            </w:r>
          </w:p>
        </w:tc>
      </w:tr>
    </w:tbl>
    <w:p>
      <w:pPr>
        <w:spacing w:before="120" w:after="0"/>
      </w:pPr>
      <w:r>
        <w:t xml:space="preserve"/>
      </w:r>
    </w:p>
    <w:p>
      <w:pPr>
        <w:pStyle w:val="Heading1"/>
        <w:pBdr>
          <w:bottom w:val="single" w:color="1F4E79" w:sz="4" w:space="4"/>
        </w:pBdr>
        <w:spacing w:before="360" w:after="120"/>
      </w:pPr>
      <w:r>
        <w:rPr>
          <w:b/>
          <w:bCs/>
          <w:color w:val="1F4E79"/>
          <w:sz w:val="32"/>
          <w:szCs w:val="32"/>
          <w:rFonts w:ascii="Arial" w:cs="Arial" w:eastAsia="Arial" w:hAnsi="Arial"/>
        </w:rPr>
        <w:t xml:space="preserve">About This Document</w:t>
      </w:r>
    </w:p>
    <w:p>
      <w:pPr>
        <w:spacing w:before="60" w:after="100"/>
      </w:pPr>
      <w:r>
        <w:rPr>
          <w:color w:val="333333"/>
          <w:sz w:val="22"/>
          <w:szCs w:val="22"/>
          <w:rFonts w:ascii="Arial" w:cs="Arial" w:eastAsia="Arial" w:hAnsi="Arial"/>
        </w:rPr>
        <w:t xml:space="preserve">This report is automatically generated by scripts/generate-soc2-report.js from scripts/soc2-controls.js. It regenerates on every npm run build. To update a control status, edit soc2-controls.js and run npm run docs:soc2.</w:t>
      </w:r>
    </w:p>
    <w:p>
      <w:pPr>
        <w:spacing w:before="60" w:after="100"/>
      </w:pPr>
      <w:r>
        <w:rPr>
          <w:color w:val="333333"/>
          <w:sz w:val="22"/>
          <w:szCs w:val="22"/>
          <w:rFonts w:ascii="Arial" w:cs="Arial" w:eastAsia="Arial" w:hAnsi="Arial"/>
        </w:rPr>
        <w:t xml:space="preserve">PRISM Platform v10.5.0  ·  Generated: July 24,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color w:val="595959"/>
        <w:sz w:val="16"/>
        <w:szCs w:val="16"/>
        <w:rFonts w:ascii="Arial" w:cs="Arial" w:eastAsia="Arial" w:hAnsi="Arial"/>
      </w:rPr>
      <w:t xml:space="preserve">CONFIDENTIAL — INTERNAL USE ONLY</w:t>
    </w:r>
    <w:r>
      <w:rPr>
        <w:sz w:val="16"/>
        <w:szCs w:val="16"/>
        <w:rFonts w:ascii="Arial" w:cs="Arial" w:eastAsia="Arial" w:hAnsi="Arial"/>
      </w:rPr>
      <w:t xml:space="preserve">	</w:t>
    </w:r>
    <w:r>
      <w:rPr>
        <w:color w:val="595959"/>
        <w:sz w:val="16"/>
        <w:szCs w:val="16"/>
        <w:rFonts w:ascii="Arial" w:cs="Arial" w:eastAsia="Arial" w:hAnsi="Arial"/>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color w:val="595959"/>
        <w:sz w:val="18"/>
        <w:szCs w:val="18"/>
        <w:rFonts w:ascii="Arial" w:cs="Arial" w:eastAsia="Arial" w:hAnsi="Arial"/>
      </w:rPr>
      <w:t xml:space="preserve">PRISM Operations Inc.  —  SOC 2 Readiness Assessment</w:t>
    </w:r>
    <w:r>
      <w:rPr>
        <w:sz w:val="18"/>
        <w:szCs w:val="18"/>
        <w:rFonts w:ascii="Arial" w:cs="Arial" w:eastAsia="Arial" w:hAnsi="Arial"/>
      </w:rPr>
      <w:t xml:space="preserve">	</w:t>
    </w:r>
    <w:r>
      <w:rPr>
        <w:color w:val="595959"/>
        <w:sz w:val="18"/>
        <w:szCs w:val="18"/>
        <w:rFonts w:ascii="Arial" w:cs="Arial" w:eastAsia="Arial" w:hAnsi="Arial"/>
      </w:rPr>
      <w:t xml:space="preserve">PRISM v10.5.0  |  July 24,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b/>
      <w:bCs/>
      <w:color w:val="1F4E79"/>
      <w:sz w:val="32"/>
      <w:szCs w:val="32"/>
      <w:rFonts w:ascii="Arial" w:cs="Arial" w:eastAsia="Arial" w:hAnsi="Arial"/>
    </w:rPr>
  </w:style>
  <w:style w:type="paragraph" w:styleId="Heading2">
    <w:name w:val="Heading 2"/>
    <w:basedOn w:val="Normal"/>
    <w:next w:val="Normal"/>
    <w:qFormat/>
    <w:pPr>
      <w:spacing w:before="240" w:after="80"/>
      <w:outlineLvl w:val="1"/>
    </w:pPr>
    <w:rPr>
      <w:b/>
      <w:bCs/>
      <w:color w:val="2E74B5"/>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2026-07-24T03:45:13.914Z</dcterms:created>
  <dcterms:modified xsi:type="dcterms:W3CDTF">2026-07-24T03:45:13.915Z</dcterms:modified>
</cp:coreProperties>
</file>

<file path=docProps/custom.xml><?xml version="1.0" encoding="utf-8"?>
<Properties xmlns="http://schemas.openxmlformats.org/officeDocument/2006/custom-properties" xmlns:vt="http://schemas.openxmlformats.org/officeDocument/2006/docPropsVTypes"/>
</file>