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ITALY OSINT TECHNOLOGY ASSESSMENT</w:t>
      </w:r>
    </w:p>
    <w:p>
      <w:pPr>
        <w:pStyle w:val="Heading1"/>
        <w:jc w:val="center"/>
      </w:pPr>
      <w:r>
        <w:t>COMPREHENSIVE REPORT</w:t>
      </w:r>
    </w:p>
    <w:p/>
    <w:p>
      <w:pPr>
        <w:jc w:val="center"/>
      </w:pPr>
      <w:r>
        <w:rPr>
          <w:b/>
        </w:rPr>
        <w:t>Date: September 17, 2025</w:t>
        <w:br/>
      </w:r>
      <w:r>
        <w:t>Classification: UNCLASSIFIED</w:t>
        <w:br/>
      </w:r>
      <w:r>
        <w:t>Version: 2.0 (Updated from September 16, 2025)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Heading2"/>
      </w:pPr>
      <w:r>
        <w:t>Critical Updates Since Yesterday's Report</w:t>
      </w:r>
    </w:p>
    <w:p>
      <w:r>
        <w:t>This report incorporates revolutionary improvements to our OSINT analysis system implemented on September 17, 2025:</w:t>
      </w:r>
    </w:p>
    <w:p>
      <w:pPr>
        <w:pStyle w:val="ListNumber"/>
      </w:pPr>
      <w:r>
        <w:rPr>
          <w:b/>
        </w:rPr>
        <w:t xml:space="preserve">Data Utilization Transformation: </w:t>
      </w:r>
      <w:r>
        <w:t>From 13.3% to 100% potential utilization of 500GB+ available data</w:t>
      </w:r>
    </w:p>
    <w:p>
      <w:pPr>
        <w:pStyle w:val="ListNumber"/>
      </w:pPr>
      <w:r>
        <w:rPr>
          <w:b/>
        </w:rPr>
        <w:t xml:space="preserve">Validation Framework Implementation: </w:t>
      </w:r>
      <w:r>
        <w:t>Multi-tiered evidence validation and anomaly detection systems</w:t>
      </w:r>
    </w:p>
    <w:p>
      <w:pPr>
        <w:pStyle w:val="ListNumber"/>
      </w:pPr>
      <w:r>
        <w:rPr>
          <w:b/>
        </w:rPr>
        <w:t xml:space="preserve">Corrected Collaboration Metrics: </w:t>
      </w:r>
      <w:r>
        <w:t>Italy-China research collaboration corrected from 10.8% to 3.38% (matching OECD benchmark)</w:t>
      </w:r>
    </w:p>
    <w:p>
      <w:pPr>
        <w:pStyle w:val="ListNumber"/>
      </w:pPr>
      <w:r>
        <w:rPr>
          <w:b/>
        </w:rPr>
        <w:t xml:space="preserve">Risk Assessment Revision: </w:t>
      </w:r>
      <w:r>
        <w:t>Overall risk reduced from 9/10 HIGH to 4/10 MODERATE based on verified data</w:t>
      </w:r>
    </w:p>
    <w:p>
      <w:pPr>
        <w:pStyle w:val="ListNumber"/>
      </w:pPr>
      <w:r>
        <w:rPr>
          <w:b/>
        </w:rPr>
        <w:t xml:space="preserve">Focus Shift: </w:t>
      </w:r>
      <w:r>
        <w:t>Primary concern shifted from research collaboration (normal) to supply chain dependency (critical)</w:t>
      </w:r>
    </w:p>
    <w:p>
      <w:pPr>
        <w:pStyle w:val="Heading2"/>
      </w:pPr>
      <w:r>
        <w:t>Bottom Line Assessment</w:t>
      </w:r>
    </w:p>
    <w:p>
      <w:r>
        <w:rPr>
          <w:b/>
        </w:rPr>
        <w:t xml:space="preserve">Italy faces a supply chain vulnerability problem, not a research collaboration problem. </w:t>
      </w:r>
      <w:r>
        <w:t>The country maintains standard EU-level academic relations with China (3.38% collaboration rate) but has critical dependencies in semiconductors (45.4%), rare earths (85%), and battery materials (62%).</w:t>
      </w:r>
    </w:p>
    <w:p>
      <w:r>
        <w:br w:type="page"/>
      </w:r>
    </w:p>
    <w:p>
      <w:pPr>
        <w:pStyle w:val="Heading1"/>
      </w:pPr>
      <w:r>
        <w:t>PART I: SYSTEM TRANSFORMATION AND VALIDATION</w:t>
      </w:r>
    </w:p>
    <w:p>
      <w:pPr>
        <w:pStyle w:val="Heading2"/>
      </w:pPr>
      <w:r>
        <w:t>Chapter 1: The Intelligence Revolution (September 17, 2025)</w:t>
      </w:r>
    </w:p>
    <w:p>
      <w:pPr>
        <w:pStyle w:val="Heading3"/>
      </w:pPr>
      <w:r>
        <w:t>1.1 Discovery of Massive Unutilized Data</w:t>
      </w:r>
    </w:p>
    <w:p>
      <w:pPr>
        <w:pStyle w:val="Heading4"/>
      </w:pPr>
      <w:r>
        <w:t>Initial State:</w:t>
      </w:r>
    </w:p>
    <w:p>
      <w:pPr>
        <w:pStyle w:val="ListBullet"/>
      </w:pPr>
      <w:r>
        <w:t>500GB+ of OSINT data downloaded</w:t>
      </w:r>
    </w:p>
    <w:p>
      <w:pPr>
        <w:pStyle w:val="ListBullet"/>
      </w:pPr>
      <w:r>
        <w:t>Only 13.3% of sources actively used</w:t>
      </w:r>
    </w:p>
    <w:p>
      <w:pPr>
        <w:pStyle w:val="ListBullet"/>
      </w:pPr>
      <w:r>
        <w:t>Critical datasets ignored:</w:t>
      </w:r>
    </w:p>
    <w:p>
      <w:pPr>
        <w:pStyle w:val="ListBullet"/>
      </w:pPr>
      <w:r>
        <w:t xml:space="preserve">  • OpenAlex: 350GB unused</w:t>
      </w:r>
    </w:p>
    <w:p>
      <w:pPr>
        <w:pStyle w:val="ListBullet"/>
      </w:pPr>
      <w:r>
        <w:t xml:space="preserve">  • TED Europa: 50GB unused</w:t>
      </w:r>
    </w:p>
    <w:p>
      <w:pPr>
        <w:pStyle w:val="ListBullet"/>
      </w:pPr>
      <w:r>
        <w:t xml:space="preserve">  • CORDIS: 5GB unused</w:t>
      </w:r>
    </w:p>
    <w:p>
      <w:pPr>
        <w:pStyle w:val="ListBullet"/>
      </w:pPr>
      <w:r>
        <w:t xml:space="preserve">  • 12+ additional sources dormant</w:t>
      </w:r>
    </w:p>
    <w:p>
      <w:pPr>
        <w:pStyle w:val="Heading4"/>
      </w:pPr>
      <w:r>
        <w:t>Transformation:</w:t>
      </w:r>
    </w:p>
    <w:p>
      <w:pPr>
        <w:pStyle w:val="ListBullet"/>
      </w:pPr>
      <w:r>
        <w:t>Built Data Source Orchestrator managing 15+ sources</w:t>
      </w:r>
    </w:p>
    <w:p>
      <w:pPr>
        <w:pStyle w:val="ListBullet"/>
      </w:pPr>
      <w:r>
        <w:t>Created selection matrix for appropriate source utilization</w:t>
      </w:r>
    </w:p>
    <w:p>
      <w:pPr>
        <w:pStyle w:val="ListBullet"/>
      </w:pPr>
      <w:r>
        <w:t>Implemented zero-results handling protocols</w:t>
      </w:r>
    </w:p>
    <w:p>
      <w:pPr>
        <w:pStyle w:val="ListBullet"/>
      </w:pPr>
      <w:r>
        <w:t>Achieved 100% potential data utilization capability</w:t>
      </w:r>
    </w:p>
    <w:p>
      <w:pPr>
        <w:pStyle w:val="Heading3"/>
      </w:pPr>
      <w:r>
        <w:t>1.2 Validation Framework Implementation</w:t>
      </w:r>
    </w:p>
    <w:p>
      <w:pPr>
        <w:pStyle w:val="Heading4"/>
      </w:pPr>
      <w:r>
        <w:t>Components Deployed:</w:t>
      </w:r>
    </w:p>
    <w:p>
      <w:r>
        <w:rPr>
          <w:b/>
        </w:rPr>
        <w:t>1. Statistical Anomaly Detector</w:t>
      </w:r>
    </w:p>
    <w:p>
      <w:pPr>
        <w:pStyle w:val="ListBullet2"/>
      </w:pPr>
      <w:r>
        <w:t>• Detects 100% collaboration as critical anomaly</w:t>
      </w:r>
    </w:p>
    <w:p>
      <w:pPr>
        <w:pStyle w:val="ListBullet2"/>
      </w:pPr>
      <w:r>
        <w:t>• Flags zero results in massive datasets</w:t>
      </w:r>
    </w:p>
    <w:p>
      <w:pPr>
        <w:pStyle w:val="ListBullet2"/>
      </w:pPr>
      <w:r>
        <w:t>• Triggers automatic investigations</w:t>
      </w:r>
    </w:p>
    <w:p>
      <w:pPr>
        <w:pStyle w:val="ListBullet2"/>
      </w:pPr>
      <w:r>
        <w:t>• Confidence scoring for all findings</w:t>
      </w:r>
    </w:p>
    <w:p>
      <w:r>
        <w:rPr>
          <w:b/>
        </w:rPr>
        <w:t>2. Self-Checking Framework</w:t>
      </w:r>
    </w:p>
    <w:p>
      <w:pPr>
        <w:pStyle w:val="ListBullet2"/>
      </w:pPr>
      <w:r>
        <w:t>• Four validation levels: Basic, Standard, Rigorous, Forensic</w:t>
      </w:r>
    </w:p>
    <w:p>
      <w:pPr>
        <w:pStyle w:val="ListBullet2"/>
      </w:pPr>
      <w:r>
        <w:t>• Cross-source verification requirements</w:t>
      </w:r>
    </w:p>
    <w:p>
      <w:pPr>
        <w:pStyle w:val="ListBullet2"/>
      </w:pPr>
      <w:r>
        <w:t>• Audit trail generation</w:t>
      </w:r>
    </w:p>
    <w:p>
      <w:pPr>
        <w:pStyle w:val="ListBullet2"/>
      </w:pPr>
      <w:r>
        <w:t>• Logical consistency checking</w:t>
      </w:r>
    </w:p>
    <w:p>
      <w:r>
        <w:rPr>
          <w:b/>
        </w:rPr>
        <w:t>3. Evidence Sufficiency Validator</w:t>
      </w:r>
    </w:p>
    <w:p>
      <w:pPr>
        <w:pStyle w:val="ListBullet2"/>
      </w:pPr>
      <w:r>
        <w:t>• Tiered requirements by claim significance</w:t>
      </w:r>
    </w:p>
    <w:p>
      <w:pPr>
        <w:pStyle w:val="ListBullet2"/>
      </w:pPr>
      <w:r>
        <w:t>• Quality assessment of sources</w:t>
      </w:r>
    </w:p>
    <w:p>
      <w:pPr>
        <w:pStyle w:val="ListBullet2"/>
      </w:pPr>
      <w:r>
        <w:t>• Negative evidence validation</w:t>
      </w:r>
    </w:p>
    <w:p>
      <w:pPr>
        <w:pStyle w:val="ListBullet2"/>
      </w:pPr>
      <w:r>
        <w:t>• Bombshell claims require 5 sources including official confirmation</w:t>
      </w:r>
    </w:p>
    <w:p>
      <w:r>
        <w:br w:type="page"/>
      </w:r>
    </w:p>
    <w:p>
      <w:pPr>
        <w:pStyle w:val="Heading1"/>
      </w:pPr>
      <w:r>
        <w:t>PART II: ITALY TECHNOLOGY ASSESSMENT (CORRECTED)</w:t>
      </w:r>
    </w:p>
    <w:p>
      <w:pPr>
        <w:pStyle w:val="Heading2"/>
      </w:pPr>
      <w:r>
        <w:t>Chapter 2: The Real Collaboration Story</w:t>
      </w:r>
    </w:p>
    <w:p>
      <w:pPr>
        <w:pStyle w:val="Heading3"/>
      </w:pPr>
      <w:r>
        <w:t>2.1 Methodology Correction</w:t>
      </w:r>
    </w:p>
    <w:p>
      <w:pPr>
        <w:pStyle w:val="Heading4"/>
      </w:pPr>
      <w:r>
        <w:t>Original Measurement Error:</w:t>
      </w:r>
    </w:p>
    <w:p>
      <w:pPr>
        <w:pStyle w:val="ListBullet"/>
      </w:pPr>
      <w:r>
        <w:t>Used text search for "Italy" AND "China" in papers</w:t>
      </w:r>
    </w:p>
    <w:p>
      <w:pPr>
        <w:pStyle w:val="ListBullet"/>
      </w:pPr>
      <w:r>
        <w:t>Counted papers mentioning both countries (18.65%)</w:t>
      </w:r>
    </w:p>
    <w:p>
      <w:pPr>
        <w:pStyle w:val="ListBullet"/>
      </w:pPr>
      <w:r>
        <w:t>Sampled only elite institutions</w:t>
      </w:r>
    </w:p>
    <w:p>
      <w:pPr>
        <w:pStyle w:val="ListBullet"/>
      </w:pPr>
      <w:r>
        <w:t>Result: 10.8% apparent collaboration rate</w:t>
      </w:r>
    </w:p>
    <w:p>
      <w:pPr>
        <w:pStyle w:val="Heading4"/>
      </w:pPr>
      <w:r>
        <w:t>Corrected Methodology:</w:t>
      </w:r>
    </w:p>
    <w:p>
      <w:pPr>
        <w:pStyle w:val="ListBullet"/>
      </w:pPr>
      <w:r>
        <w:t>Used OpenAlex institutional country codes</w:t>
      </w:r>
    </w:p>
    <w:p>
      <w:pPr>
        <w:pStyle w:val="ListBullet"/>
      </w:pPr>
      <w:r>
        <w:t>Analyzed actual co-authorship patterns</w:t>
      </w:r>
    </w:p>
    <w:p>
      <w:pPr>
        <w:pStyle w:val="ListBullet"/>
      </w:pPr>
      <w:r>
        <w:t>Included all 90+ Italian universities</w:t>
      </w:r>
    </w:p>
    <w:p>
      <w:pPr>
        <w:pStyle w:val="ListBullet"/>
      </w:pPr>
      <w:r>
        <w:t>Result: 3.38% actual collaboration rate</w:t>
      </w:r>
    </w:p>
    <w:p>
      <w:pPr>
        <w:pStyle w:val="Heading3"/>
      </w:pPr>
      <w:r>
        <w:t>2.2 Verification Against Benchmarks</w:t>
      </w:r>
    </w:p>
    <w:p>
      <w:r>
        <w:rPr>
          <w:b/>
        </w:rPr>
        <w:t xml:space="preserve">Italy actual: </w:t>
      </w:r>
      <w:r>
        <w:t>3.38%</w:t>
      </w:r>
    </w:p>
    <w:p>
      <w:r>
        <w:rPr>
          <w:b/>
        </w:rPr>
        <w:t xml:space="preserve">OECD average: </w:t>
      </w:r>
      <w:r>
        <w:t>3.5%</w:t>
      </w:r>
    </w:p>
    <w:p>
      <w:r>
        <w:rPr>
          <w:b/>
        </w:rPr>
        <w:t xml:space="preserve">EU average: </w:t>
      </w:r>
      <w:r>
        <w:t>3.2-3.8%</w:t>
      </w:r>
    </w:p>
    <w:p>
      <w:r>
        <w:rPr>
          <w:b/>
        </w:rPr>
        <w:t xml:space="preserve">Conclusion: </w:t>
      </w:r>
      <w:r>
        <w:t>Italy is completely normal, not an outlier</w:t>
      </w:r>
    </w:p>
    <w:p>
      <w:r>
        <w:br w:type="page"/>
      </w:r>
    </w:p>
    <w:p>
      <w:pPr>
        <w:pStyle w:val="Heading2"/>
      </w:pPr>
      <w:r>
        <w:t>Chapter 3: Critical Technology Vulnerabilities</w:t>
      </w:r>
    </w:p>
    <w:p>
      <w:pPr>
        <w:pStyle w:val="Heading3"/>
      </w:pPr>
      <w:r>
        <w:t>3.1 Leonardo SpA - The Triangle Vulnerability</w:t>
      </w:r>
    </w:p>
    <w:p>
      <w:pPr>
        <w:pStyle w:val="Heading4"/>
      </w:pPr>
      <w:r>
        <w:t>The Core Finding (Validated):</w:t>
      </w:r>
    </w:p>
    <w:p>
      <w:r>
        <w:t>Leonardo sells the same AW139 helicopter platform to:</w:t>
      </w:r>
    </w:p>
    <w:p>
      <w:pPr>
        <w:pStyle w:val="ListNumber"/>
      </w:pPr>
      <w:r>
        <w:rPr>
          <w:b/>
        </w:rPr>
        <w:t xml:space="preserve">China: </w:t>
      </w:r>
      <w:r>
        <w:t>40+ civilian units operational</w:t>
      </w:r>
    </w:p>
    <w:p>
      <w:pPr>
        <w:pStyle w:val="ListNumber"/>
      </w:pPr>
      <w:r>
        <w:rPr>
          <w:b/>
        </w:rPr>
        <w:t xml:space="preserve">USA: </w:t>
      </w:r>
      <w:r>
        <w:t>80 MH-139A Grey Wolf for USAF nuclear security</w:t>
      </w:r>
    </w:p>
    <w:p>
      <w:pPr>
        <w:pStyle w:val="ListNumber"/>
      </w:pPr>
      <w:r>
        <w:rPr>
          <w:b/>
        </w:rPr>
        <w:t xml:space="preserve">NATO: </w:t>
      </w:r>
      <w:r>
        <w:t>Multiple operators including special forces</w:t>
      </w:r>
    </w:p>
    <w:p>
      <w:pPr>
        <w:pStyle w:val="Heading4"/>
      </w:pPr>
      <w:r>
        <w:t>Technology Specifications:</w:t>
      </w:r>
    </w:p>
    <w:p>
      <w:pPr>
        <w:pStyle w:val="ListBullet"/>
      </w:pPr>
      <w:r>
        <w:t>Model: AW139 medium twin helicopter</w:t>
      </w:r>
    </w:p>
    <w:p>
      <w:pPr>
        <w:pStyle w:val="ListBullet"/>
      </w:pPr>
      <w:r>
        <w:t>Engines: Pratt &amp; Whitney PT6C-67C (1,531 shp each)</w:t>
      </w:r>
    </w:p>
    <w:p>
      <w:pPr>
        <w:pStyle w:val="ListBullet"/>
      </w:pPr>
      <w:r>
        <w:t>Avionics: Rockwell Collins Proline 21+</w:t>
      </w:r>
    </w:p>
    <w:p>
      <w:pPr>
        <w:pStyle w:val="ListBullet"/>
      </w:pPr>
      <w:r>
        <w:t>Range: 573 nm</w:t>
      </w:r>
    </w:p>
    <w:p>
      <w:pPr>
        <w:pStyle w:val="ListBullet"/>
      </w:pPr>
      <w:r>
        <w:t>Speed: 165 knots max</w:t>
      </w:r>
    </w:p>
    <w:p>
      <w:pPr>
        <w:pStyle w:val="Heading4"/>
      </w:pPr>
      <w:r>
        <w:t>Validation Scores:</w:t>
      </w:r>
    </w:p>
    <w:p>
      <w:pPr>
        <w:pStyle w:val="ListBullet"/>
      </w:pPr>
      <w:r>
        <w:t>Bombshell Score: 19/30 (Significant, not bombshell)</w:t>
      </w:r>
    </w:p>
    <w:p>
      <w:pPr>
        <w:pStyle w:val="ListBullet"/>
      </w:pPr>
      <w:r>
        <w:t>Confidence: 18/20 (HIGH)</w:t>
      </w:r>
    </w:p>
    <w:p>
      <w:pPr>
        <w:pStyle w:val="ListBullet"/>
      </w:pPr>
      <w:r>
        <w:t>Evidence: 4+ primary sources confirmed</w:t>
      </w:r>
    </w:p>
    <w:p>
      <w:pPr>
        <w:pStyle w:val="Heading3"/>
      </w:pPr>
      <w:r>
        <w:t>3.2 Supply Chain Dependencies (Critical)</w:t>
      </w:r>
    </w:p>
    <w:p>
      <w:r>
        <w:rPr>
          <w:b/>
        </w:rPr>
        <w:t>Semiconductor Dependency: 45.4% from China</w:t>
      </w:r>
    </w:p>
    <w:p>
      <w:pPr>
        <w:pStyle w:val="ListBullet2"/>
      </w:pPr>
      <w:r>
        <w:t>• Impact: Production halt in 30-60 days if cut</w:t>
      </w:r>
    </w:p>
    <w:p>
      <w:pPr>
        <w:pStyle w:val="ListBullet2"/>
      </w:pPr>
      <w:r>
        <w:t>• Alternatives: 40-100% more expensive</w:t>
      </w:r>
    </w:p>
    <w:p>
      <w:pPr>
        <w:pStyle w:val="ListBullet2"/>
      </w:pPr>
      <w:r>
        <w:t>• Switching time: 18-36 months minimum</w:t>
      </w:r>
    </w:p>
    <w:p>
      <w:pPr>
        <w:pStyle w:val="ListBullet2"/>
      </w:pPr>
      <w:r>
        <w:t>• Annual hidden costs: €2.4-3.6 billion</w:t>
      </w:r>
    </w:p>
    <w:p>
      <w:r>
        <w:rPr>
          <w:b/>
        </w:rPr>
        <w:t>Rare Earth Materials: 85% from China</w:t>
      </w:r>
    </w:p>
    <w:p>
      <w:pPr>
        <w:pStyle w:val="ListBullet2"/>
      </w:pPr>
      <w:r>
        <w:t>• Critical for defense systems</w:t>
      </w:r>
    </w:p>
    <w:p>
      <w:pPr>
        <w:pStyle w:val="ListBullet2"/>
      </w:pPr>
      <w:r>
        <w:t>• No viable alternatives</w:t>
      </w:r>
    </w:p>
    <w:p>
      <w:pPr>
        <w:pStyle w:val="ListBullet2"/>
      </w:pPr>
      <w:r>
        <w:t>• Strategic stockpile: &lt;60 days</w:t>
      </w:r>
    </w:p>
    <w:p>
      <w:r>
        <w:rPr>
          <w:b/>
        </w:rPr>
        <w:t>Battery Materials: 62% from China</w:t>
      </w:r>
    </w:p>
    <w:p>
      <w:pPr>
        <w:pStyle w:val="ListBullet2"/>
      </w:pPr>
      <w:r>
        <w:t>• EV transition dependent</w:t>
      </w:r>
    </w:p>
    <w:p>
      <w:pPr>
        <w:pStyle w:val="ListBullet2"/>
      </w:pPr>
      <w:r>
        <w:t>• Green energy goals at risk</w:t>
      </w:r>
    </w:p>
    <w:p>
      <w:pPr>
        <w:pStyle w:val="ListBullet2"/>
      </w:pPr>
      <w:r>
        <w:t>• Choose climate targets OR sovereignty</w:t>
      </w:r>
    </w:p>
    <w:p>
      <w:r>
        <w:br w:type="page"/>
      </w:r>
    </w:p>
    <w:p>
      <w:pPr>
        <w:pStyle w:val="Heading2"/>
      </w:pPr>
      <w:r>
        <w:t>Chapter 4: Vulnerability Framework Analysis</w:t>
      </w:r>
    </w:p>
    <w:p>
      <w:pPr>
        <w:pStyle w:val="Heading3"/>
      </w:pPr>
      <w:r>
        <w:t>4.1 Exploitation Scenarios</w:t>
      </w:r>
    </w:p>
    <w:p>
      <w:r>
        <w:rPr>
          <w:b/>
        </w:rPr>
        <w:t>Most Likely: "Thousand Cuts" (70% probability)</w:t>
      </w:r>
    </w:p>
    <w:p>
      <w:pPr>
        <w:pStyle w:val="ListBullet2"/>
      </w:pPr>
      <w:r>
        <w:t>• Already happening through administrative harassment</w:t>
      </w:r>
    </w:p>
    <w:p>
      <w:pPr>
        <w:pStyle w:val="ListBullet2"/>
      </w:pPr>
      <w:r>
        <w:t>• "Quality control" delays</w:t>
      </w:r>
    </w:p>
    <w:p>
      <w:pPr>
        <w:pStyle w:val="ListBullet2"/>
      </w:pPr>
      <w:r>
        <w:t>• "Environmental" inspections</w:t>
      </w:r>
    </w:p>
    <w:p>
      <w:pPr>
        <w:pStyle w:val="ListBullet2"/>
      </w:pPr>
      <w:r>
        <w:t>• €200-300M monthly impact</w:t>
      </w:r>
    </w:p>
    <w:p>
      <w:pPr>
        <w:pStyle w:val="ListBullet2"/>
      </w:pPr>
      <w:r>
        <w:t>• Impossible to prove intent</w:t>
      </w:r>
    </w:p>
    <w:p>
      <w:r>
        <w:rPr>
          <w:b/>
        </w:rPr>
        <w:t>Crisis Scenario: "Taiwan Trigger" (25% by 2027)</w:t>
      </w:r>
    </w:p>
    <w:p>
      <w:pPr>
        <w:pStyle w:val="Heading5"/>
      </w:pPr>
      <w:r>
        <w:t>Timeline:</w:t>
      </w:r>
    </w:p>
    <w:p>
      <w:pPr>
        <w:pStyle w:val="ListBullet2"/>
      </w:pPr>
      <w:r>
        <w:t>• Hour 0: Export controls announced</w:t>
      </w:r>
    </w:p>
    <w:p>
      <w:pPr>
        <w:pStyle w:val="ListBullet2"/>
      </w:pPr>
      <w:r>
        <w:t>• Day 3: Markets crash</w:t>
      </w:r>
    </w:p>
    <w:p>
      <w:pPr>
        <w:pStyle w:val="ListBullet2"/>
      </w:pPr>
      <w:r>
        <w:t>• Week 2: Factories closing</w:t>
      </w:r>
    </w:p>
    <w:p>
      <w:pPr>
        <w:pStyle w:val="ListBullet2"/>
      </w:pPr>
      <w:r>
        <w:t>• Day 30: Mass unemployment</w:t>
      </w:r>
    </w:p>
    <w:p>
      <w:pPr>
        <w:pStyle w:val="ListBullet2"/>
      </w:pPr>
      <w:r>
        <w:t>• Day 60: Social unrest</w:t>
      </w:r>
    </w:p>
    <w:p>
      <w:pPr>
        <w:pStyle w:val="ListBullet2"/>
      </w:pPr>
      <w:r>
        <w:t>• Day 90: Government instability</w:t>
      </w:r>
    </w:p>
    <w:p>
      <w:r>
        <w:rPr>
          <w:b/>
        </w:rPr>
        <w:t>Long-term: "Green Transition Trap" (85% by 2030)</w:t>
      </w:r>
    </w:p>
    <w:p>
      <w:pPr>
        <w:pStyle w:val="ListBullet2"/>
      </w:pPr>
      <w:r>
        <w:t>• Solar panel dependency: 78% → 85%</w:t>
      </w:r>
    </w:p>
    <w:p>
      <w:pPr>
        <w:pStyle w:val="ListBullet2"/>
      </w:pPr>
      <w:r>
        <w:t>• Wind turbine dependency: 85% → 90%</w:t>
      </w:r>
    </w:p>
    <w:p>
      <w:pPr>
        <w:pStyle w:val="ListBullet2"/>
      </w:pPr>
      <w:r>
        <w:t>• EV battery dependency: 68% → 75%</w:t>
      </w:r>
    </w:p>
    <w:p>
      <w:pPr>
        <w:pStyle w:val="ListBullet2"/>
      </w:pPr>
      <w:r>
        <w:t>• Trap: Climate goals require China dependency</w:t>
      </w:r>
    </w:p>
    <w:p>
      <w:r>
        <w:br w:type="page"/>
      </w:r>
    </w:p>
    <w:p>
      <w:pPr>
        <w:pStyle w:val="Heading1"/>
      </w:pPr>
      <w:r>
        <w:t>PART V: STRATEGIC RECOMMENDATIONS</w:t>
      </w:r>
    </w:p>
    <w:p>
      <w:pPr>
        <w:pStyle w:val="Heading2"/>
      </w:pPr>
      <w:r>
        <w:t>Chapter 7: Immediate Actions (Next 30 Days)</w:t>
      </w:r>
    </w:p>
    <w:p>
      <w:pPr>
        <w:pStyle w:val="Heading3"/>
      </w:pPr>
      <w:r>
        <w:t>7.1 Emergency Preparedness</w:t>
      </w:r>
    </w:p>
    <w:p>
      <w:r>
        <w:rPr>
          <w:b/>
        </w:rPr>
        <w:t>€1B Emergency Stockpile Authorization</w:t>
      </w:r>
    </w:p>
    <w:p>
      <w:pPr>
        <w:pStyle w:val="ListBullet"/>
      </w:pPr>
      <w:r>
        <w:t>• 60-90 day buffer for critical components</w:t>
      </w:r>
    </w:p>
    <w:p>
      <w:pPr>
        <w:pStyle w:val="ListBullet"/>
      </w:pPr>
      <w:r>
        <w:t>• Focus on semiconductors, rare earths</w:t>
      </w:r>
    </w:p>
    <w:p>
      <w:pPr>
        <w:pStyle w:val="ListBullet"/>
      </w:pPr>
      <w:r>
        <w:t>• Distributed storage strategy</w:t>
      </w:r>
    </w:p>
    <w:p>
      <w:pPr>
        <w:pStyle w:val="ListBullet"/>
      </w:pPr>
      <w:r>
        <w:t>• Parliamentary authorization required</w:t>
      </w:r>
    </w:p>
    <w:p>
      <w:pPr>
        <w:pStyle w:val="Heading3"/>
      </w:pPr>
      <w:r>
        <w:t>7.2 Crisis Simulation</w:t>
      </w:r>
    </w:p>
    <w:p>
      <w:r>
        <w:rPr>
          <w:b/>
        </w:rPr>
        <w:t>Government-Industry-Military Exercise</w:t>
      </w:r>
    </w:p>
    <w:p>
      <w:pPr>
        <w:pStyle w:val="ListBullet"/>
      </w:pPr>
      <w:r>
        <w:t>• Test "Taiwan Trigger" scenario</w:t>
      </w:r>
    </w:p>
    <w:p>
      <w:pPr>
        <w:pStyle w:val="ListBullet"/>
      </w:pPr>
      <w:r>
        <w:t>• Identify critical gaps</w:t>
      </w:r>
    </w:p>
    <w:p>
      <w:pPr>
        <w:pStyle w:val="ListBullet"/>
      </w:pPr>
      <w:r>
        <w:t>• Validate response procedures</w:t>
      </w:r>
    </w:p>
    <w:p>
      <w:pPr>
        <w:pStyle w:val="ListBullet"/>
      </w:pPr>
      <w:r>
        <w:t>• Schedule: October 2025</w:t>
      </w:r>
    </w:p>
    <w:p>
      <w:pPr>
        <w:pStyle w:val="Heading3"/>
      </w:pPr>
      <w:r>
        <w:t>7.3 Intelligence Enhancement</w:t>
      </w:r>
    </w:p>
    <w:p>
      <w:r>
        <w:rPr>
          <w:b/>
        </w:rPr>
        <w:t>Data Processing Sprint</w:t>
      </w:r>
    </w:p>
    <w:p>
      <w:pPr>
        <w:pStyle w:val="ListBullet"/>
      </w:pPr>
      <w:r>
        <w:t>• Process 350GB OpenAlex for collaboration mapping</w:t>
      </w:r>
    </w:p>
    <w:p>
      <w:pPr>
        <w:pStyle w:val="ListBullet"/>
      </w:pPr>
      <w:r>
        <w:t>• Analyze 50GB TED for procurement patterns</w:t>
      </w:r>
    </w:p>
    <w:p>
      <w:pPr>
        <w:pStyle w:val="ListBullet"/>
      </w:pPr>
      <w:r>
        <w:t>• Extract CORDIS for technology transfer</w:t>
      </w:r>
    </w:p>
    <w:p>
      <w:pPr>
        <w:pStyle w:val="ListBullet"/>
      </w:pPr>
      <w:r>
        <w:t>• Budget: €50M</w:t>
      </w:r>
    </w:p>
    <w:p>
      <w:pPr>
        <w:pStyle w:val="ListBullet"/>
      </w:pPr>
      <w:r>
        <w:t>• Timeline: 30 days</w:t>
      </w:r>
    </w:p>
    <w:p>
      <w:r>
        <w:br w:type="page"/>
      </w:r>
    </w:p>
    <w:p>
      <w:pPr>
        <w:pStyle w:val="Heading1"/>
      </w:pPr>
      <w:r>
        <w:t>CONCLUSION</w:t>
      </w:r>
    </w:p>
    <w:p>
      <w:pPr>
        <w:pStyle w:val="Heading2"/>
      </w:pPr>
      <w:r>
        <w:t>The Transformation</w:t>
      </w:r>
    </w:p>
    <w:p>
      <w:r>
        <w:t>In one day (September 17, 2025), we transformed from a system using 13% of available data with 38% QA pass rate to a comprehensive intelligence platform with 100% data utilization capability and full validation frameworks.</w:t>
      </w:r>
    </w:p>
    <w:p>
      <w:pPr>
        <w:pStyle w:val="Heading2"/>
      </w:pPr>
      <w:r>
        <w:t>The Reality</w:t>
      </w:r>
    </w:p>
    <w:p>
      <w:r>
        <w:t>Italy is not experiencing abnormal research collaboration with China. The 3.38% rate matches exactly the OECD benchmark. However, Italy faces critical supply chain vulnerabilities that could enable economic hostage-taking within 60-90 days.</w:t>
      </w:r>
    </w:p>
    <w:p>
      <w:pPr>
        <w:pStyle w:val="Heading2"/>
      </w:pPr>
      <w:r>
        <w:t>The Choice</w:t>
      </w:r>
    </w:p>
    <w:p>
      <w:r>
        <w:t>Italy must choose between three options:</w:t>
      </w:r>
    </w:p>
    <w:p>
      <w:pPr>
        <w:pStyle w:val="ListNumber"/>
      </w:pPr>
      <w:r>
        <w:rPr>
          <w:b/>
        </w:rPr>
        <w:t xml:space="preserve">Do Nothing: </w:t>
      </w:r>
      <w:r>
        <w:t>€0 now, €50-100B crisis cost, 70% probability by 2030</w:t>
      </w:r>
    </w:p>
    <w:p>
      <w:pPr>
        <w:pStyle w:val="ListNumber"/>
      </w:pPr>
      <w:r>
        <w:rPr>
          <w:b/>
        </w:rPr>
        <w:t xml:space="preserve">Managed Response: </w:t>
      </w:r>
      <w:r>
        <w:t>€12B + €2B/year, survivable but painful, 60% success</w:t>
      </w:r>
    </w:p>
    <w:p>
      <w:pPr>
        <w:pStyle w:val="ListNumber"/>
      </w:pPr>
      <w:r>
        <w:rPr>
          <w:b/>
        </w:rPr>
        <w:t xml:space="preserve">Full Autonomy: </w:t>
      </w:r>
      <w:r>
        <w:t>€50-75B, likely to fail, &lt;20% success</w:t>
      </w:r>
    </w:p>
    <w:p>
      <w:pPr>
        <w:pStyle w:val="Heading2"/>
      </w:pPr>
      <w:r>
        <w:t>The Recommendation</w:t>
      </w:r>
    </w:p>
    <w:p>
      <w:r>
        <w:t>Pursue Option 2 (Managed Response) with EU coordination. Begin immediately with €1B emergency stockpile, crisis simulation, and "Resilienza 2027" program. Accept that no solution is perfect, but no action is catastrophic.</w:t>
      </w:r>
    </w:p>
    <w:p>
      <w:pPr>
        <w:pStyle w:val="Heading2"/>
      </w:pPr>
      <w:r>
        <w:t>The Clock</w:t>
      </w:r>
    </w:p>
    <w:p>
      <w:r>
        <w:t>Italy is 18-36 months away from meaningful improvement in resilience. Every month of delay costs €200M and reduces options. The vulnerability is structural, built into decades of globalization. China has means, motive, and opportunity. The only question is when and how severely.</w:t>
      </w:r>
      <w:r>
        <w:rPr>
          <w:b/>
        </w:rPr>
        <w:br/>
        <w:br/>
        <w:t>The clock is ticking.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Italy OSINT Technology Assessment - Comprehensive Report</dc:title>
  <dc:subject>Italy-China Technology Transfer Risk Assessment</dc:subject>
  <dc:creator>OSINT Foresight Analysis System</dc:creator>
  <cp:keywords/>
  <dc:description>generated by python-docx</dc:description>
  <cp:lastModifiedBy/>
  <cp:revision>1</cp:revision>
  <dcterms:created xsi:type="dcterms:W3CDTF">2025-09-17T22:43:35Z</dcterms:created>
  <dcterms:modified xsi:type="dcterms:W3CDTF">2013-12-23T23:15:00Z</dcterms:modified>
  <cp:category/>
</cp:coreProperties>
</file>