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Italy Technology Security Assessment - Synthesis Analysis</w:t>
      </w:r>
    </w:p>
    <w:p>
      <w:r>
        <w:rPr>
          <w:b/>
        </w:rPr>
        <w:t xml:space="preserve">Generated: </w:t>
      </w:r>
      <w:r>
        <w:t>2025-09-16</w:t>
        <w:br/>
      </w:r>
      <w:r>
        <w:rPr>
          <w:b/>
        </w:rPr>
        <w:t xml:space="preserve">Sources: </w:t>
      </w:r>
      <w:r>
        <w:t>ChatGPT v6 Phase Documents + Claude Analysis</w:t>
        <w:br/>
      </w:r>
      <w:r>
        <w:rPr>
          <w:b/>
        </w:rPr>
        <w:t xml:space="preserve">Classification: </w:t>
      </w:r>
      <w:r>
        <w:t>OSINT Synthesis</w:t>
      </w:r>
    </w:p>
    <w:p>
      <w:pPr>
        <w:pStyle w:val="Heading1"/>
      </w:pPr>
      <w:r>
        <w:t>Key Correction</w:t>
      </w:r>
    </w:p>
    <w:p>
      <w:r>
        <w:t>The "9,278 Chinese STEM students" figure was erroneously included in initial analysis. ChatGPT's actual assessment is more nuanced and does not provide specific student numbers. The analysis focuses on:</w:t>
      </w:r>
    </w:p>
    <w:p>
      <w:pPr>
        <w:pStyle w:val="ListBullet"/>
      </w:pPr>
      <w:r>
        <w:t>Visiting scholars at specific institutions under EU exchange programs</w:t>
      </w:r>
    </w:p>
    <w:p>
      <w:pPr>
        <w:pStyle w:val="ListBullet"/>
      </w:pPr>
      <w:r>
        <w:t>Talent circulation patterns without quantification</w:t>
      </w:r>
    </w:p>
    <w:p>
      <w:pPr>
        <w:pStyle w:val="ListBullet"/>
      </w:pPr>
      <w:r>
        <w:t>Security vetting gaps for inbound researchers</w:t>
      </w:r>
    </w:p>
    <w:p>
      <w:pPr>
        <w:pStyle w:val="ListBullet"/>
      </w:pPr>
      <w:r>
        <w:t>Outbound Italian PhDs taking postdocs in China</w:t>
      </w:r>
    </w:p>
    <w:p>
      <w:r>
        <w:rPr>
          <w:b/>
        </w:rPr>
        <w:t xml:space="preserve">Critical Gap: </w:t>
      </w:r>
      <w:r>
        <w:t>No reliable data on actual numbers, fields of study, or institutional distribution of Chinese students/researchers in Italy.</w:t>
      </w:r>
    </w:p>
    <w:p>
      <w:pPr>
        <w:pStyle w:val="Heading1"/>
      </w:pPr>
      <w:r>
        <w:t>ChatGPT's Key Findings (from actual documents)</w:t>
      </w:r>
    </w:p>
    <w:p>
      <w:pPr>
        <w:pStyle w:val="Heading2"/>
      </w:pPr>
      <w:r>
        <w:t>1. Conference Intelligence Framework</w:t>
      </w:r>
    </w:p>
    <w:p>
      <w:r>
        <w:t>ChatGPT emphasizes conference-enabled partnerships as primary vulnerability:</w:t>
      </w:r>
    </w:p>
    <w:p>
      <w:pPr>
        <w:pStyle w:val="ListBullet"/>
      </w:pPr>
      <w:r>
        <w:t>Tier-1 Events: Paris Air Show, Farnborough, DSEI, Eurosatory</w:t>
      </w:r>
    </w:p>
    <w:p>
      <w:pPr>
        <w:pStyle w:val="ListBullet"/>
      </w:pPr>
      <w:r>
        <w:t>Space/EO: IAC where ASI signed MoUs with CNSA-adjacent institutes (2020-2023)</w:t>
      </w:r>
    </w:p>
    <w:p>
      <w:pPr>
        <w:pStyle w:val="ListBullet"/>
      </w:pPr>
      <w:r>
        <w:t>Robotics: ICRA/IROS side meetings led to joint papers</w:t>
      </w:r>
    </w:p>
    <w:p>
      <w:pPr>
        <w:pStyle w:val="ListBullet"/>
      </w:pPr>
      <w:r>
        <w:t>Semiconductors: SEMICON Europa exploratory talks (undocumented outcomes)</w:t>
      </w:r>
    </w:p>
    <w:p>
      <w:r>
        <w:rPr>
          <w:b/>
        </w:rPr>
        <w:t>China Exposure Index (CEI)</w:t>
      </w:r>
      <w:r>
        <w:t xml:space="preserve"> = china_presence_weighted × disclosure_risk × partnership_depth</w:t>
      </w:r>
    </w:p>
    <w:p>
      <w:pPr>
        <w:pStyle w:val="ListBullet"/>
      </w:pPr>
      <w:r>
        <w:t>Scaled 0-1 with 3.0 multiplier for Tier-1 critical events</w:t>
      </w:r>
    </w:p>
    <w:p>
      <w:pPr>
        <w:pStyle w:val="ListBullet"/>
      </w:pPr>
      <w:r>
        <w:t>Requires triad analysis (Italy-China-US co-presence)</w:t>
      </w:r>
    </w:p>
    <w:p>
      <w:pPr>
        <w:pStyle w:val="Heading2"/>
      </w:pPr>
      <w:r>
        <w:t>2. Supply Chain Vulnerabilities</w:t>
      </w:r>
    </w:p>
    <w:p>
      <w:pPr>
        <w:pStyle w:val="Heading3"/>
      </w:pPr>
      <w:r>
        <w:t>Critical Single Points of Failure</w:t>
      </w:r>
    </w:p>
    <w:p>
      <w:pPr>
        <w:pStyle w:val="ListBullet"/>
      </w:pPr>
      <w:r>
        <w:t>Harmonic Drive actuators (Germany) - global monopoly affecting robotics</w:t>
      </w:r>
    </w:p>
    <w:p>
      <w:pPr>
        <w:pStyle w:val="ListBullet"/>
      </w:pPr>
      <w:r>
        <w:t>GPU supply (NVIDIA/US) - no alternatives for HPC/quantum</w:t>
      </w:r>
    </w:p>
    <w:p>
      <w:pPr>
        <w:pStyle w:val="ListBullet"/>
      </w:pPr>
      <w:r>
        <w:t>Cryogenic dilution fridges (BlueFors/Finland, Oxford/UK) - quantum bottleneck</w:t>
      </w:r>
    </w:p>
    <w:p>
      <w:pPr>
        <w:pStyle w:val="ListBullet"/>
      </w:pPr>
      <w:r>
        <w:t>EUV lithography - complete ASML dependency</w:t>
      </w:r>
    </w:p>
    <w:p>
      <w:pPr>
        <w:pStyle w:val="Heading3"/>
      </w:pPr>
      <w:r>
        <w:t>Dual-Exposure Risks</w:t>
      </w:r>
    </w:p>
    <w:p>
      <w:pPr>
        <w:pStyle w:val="ListBullet"/>
      </w:pPr>
      <w:r>
        <w:t>STMicroelectronics SiC production in both Catania and Shenzhen</w:t>
      </w:r>
    </w:p>
    <w:p>
      <w:pPr>
        <w:pStyle w:val="ListBullet"/>
      </w:pPr>
      <w:r>
        <w:t>Creates technology leakage pathway if Shenzhen operations compromise IP</w:t>
      </w:r>
    </w:p>
    <w:p>
      <w:pPr>
        <w:pStyle w:val="Heading2"/>
      </w:pPr>
      <w:r>
        <w:t>3. Institutional Landscape</w:t>
      </w:r>
    </w:p>
    <w:p>
      <w:pPr>
        <w:pStyle w:val="Heading3"/>
      </w:pPr>
      <w:r>
        <w:t>Research Centers with Confirmed China Engagement</w:t>
      </w:r>
    </w:p>
    <w:p>
      <w:pPr>
        <w:pStyle w:val="ListBullet"/>
      </w:pPr>
      <w:r>
        <w:t>CNR: 12 active MOUs with Chinese institutions, 47 ongoing projects</w:t>
      </w:r>
    </w:p>
    <w:p>
      <w:pPr>
        <w:pStyle w:val="ListBullet"/>
      </w:pPr>
      <w:r>
        <w:t>IIT (Italian Institute of Technology): Robotics/nanomaterials collaboration</w:t>
      </w:r>
    </w:p>
    <w:p>
      <w:pPr>
        <w:pStyle w:val="ListBullet"/>
      </w:pPr>
      <w:r>
        <w:t>Sant'Anna School: PRC visiting scholars, joint robotics research</w:t>
      </w:r>
    </w:p>
    <w:p>
      <w:pPr>
        <w:pStyle w:val="ListBullet"/>
      </w:pPr>
      <w:r>
        <w:t>CINECA: Quantum panels with PRC teams at Q2B/EQTC</w:t>
      </w:r>
    </w:p>
    <w:p>
      <w:pPr>
        <w:pStyle w:val="Heading3"/>
      </w:pPr>
      <w:r>
        <w:t>Critical Gaps in Oversight</w:t>
      </w:r>
    </w:p>
    <w:p>
      <w:pPr>
        <w:pStyle w:val="ListBullet"/>
      </w:pPr>
      <w:r>
        <w:t>No central MoU registry</w:t>
      </w:r>
    </w:p>
    <w:p>
      <w:pPr>
        <w:pStyle w:val="ListBullet"/>
      </w:pPr>
      <w:r>
        <w:t>Weak vetting of visiting scholars</w:t>
      </w:r>
    </w:p>
    <w:p>
      <w:pPr>
        <w:pStyle w:val="ListBullet"/>
      </w:pPr>
      <w:r>
        <w:t>Spin-out acquisitions not screened for PRC limited partners</w:t>
      </w:r>
    </w:p>
    <w:p>
      <w:pPr>
        <w:pStyle w:val="ListBullet"/>
      </w:pPr>
      <w:r>
        <w:t>Academic funding from PRC often hidden in bilateral projects</w:t>
      </w:r>
    </w:p>
    <w:p>
      <w:pPr>
        <w:pStyle w:val="Heading2"/>
      </w:pPr>
      <w:r>
        <w:t>4. Technology Transfer Mechanisms</w:t>
      </w:r>
    </w:p>
    <w:p>
      <w:r>
        <w:t>ChatGPT identifies four primary pathways: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Mechanism</w:t>
            </w:r>
          </w:p>
        </w:tc>
      </w:tr>
      <w:tr>
        <w:tc>
          <w:tcPr>
            <w:tcW w:type="dxa" w:w="2160"/>
          </w:tcPr>
          <w:p>
            <w:r>
              <w:t>Academic Collaboration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WEAK</w:t>
            </w:r>
          </w:p>
        </w:tc>
        <w:tc>
          <w:tcPr>
            <w:tcW w:type="dxa" w:w="2160"/>
          </w:tcPr>
          <w:p>
            <w:r>
              <w:t>Joint research, shared labs</w:t>
            </w:r>
          </w:p>
        </w:tc>
      </w:tr>
      <w:tr>
        <w:tc>
          <w:tcPr>
            <w:tcW w:type="dxa" w:w="2160"/>
          </w:tcPr>
          <w:p>
            <w:r>
              <w:t>Industrial Partnerships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JVs, licensing, M&amp;A</w:t>
            </w:r>
          </w:p>
        </w:tc>
      </w:tr>
      <w:tr>
        <w:tc>
          <w:tcPr>
            <w:tcW w:type="dxa" w:w="2160"/>
          </w:tcPr>
          <w:p>
            <w:r>
              <w:t>Talent Recruitment</w:t>
            </w:r>
          </w:p>
        </w:tc>
        <w:tc>
          <w:tcPr>
            <w:tcW w:type="dxa" w:w="2160"/>
          </w:tcPr>
          <w:p>
            <w:r>
              <w:t>UNKNOWN (estimated significant)</w:t>
            </w:r>
          </w:p>
        </w:tc>
        <w:tc>
          <w:tcPr>
            <w:tcW w:type="dxa" w:w="2160"/>
          </w:tcPr>
          <w:p>
            <w:r>
              <w:t>MINIMAL</w:t>
            </w:r>
          </w:p>
        </w:tc>
        <w:tc>
          <w:tcPr>
            <w:tcW w:type="dxa" w:w="2160"/>
          </w:tcPr>
          <w:p>
            <w:r>
              <w:t>No tracking of Thousand Talents participation</w:t>
            </w:r>
          </w:p>
        </w:tc>
      </w:tr>
      <w:tr>
        <w:tc>
          <w:tcPr>
            <w:tcW w:type="dxa" w:w="2160"/>
          </w:tcPr>
          <w:p>
            <w:r>
              <w:t>Conference Networking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Initial contact point for partnerships</w:t>
            </w:r>
          </w:p>
        </w:tc>
      </w:tr>
    </w:tbl>
    <w:p>
      <w:pPr>
        <w:pStyle w:val="Heading2"/>
      </w:pPr>
      <w:r>
        <w:t>5. Funding Landscape Risks</w:t>
      </w:r>
    </w:p>
    <w:p>
      <w:pPr>
        <w:pStyle w:val="ListBullet"/>
      </w:pPr>
      <w:r>
        <w:t>PNRR: €15-20bn for digital/tech with weak foreign subcontractor vetting</w:t>
      </w:r>
    </w:p>
    <w:p>
      <w:pPr>
        <w:pStyle w:val="ListBullet"/>
      </w:pPr>
      <w:r>
        <w:t>Horizon Europe: PRC entities as "Swiss substitutes" in consortia</w:t>
      </w:r>
    </w:p>
    <w:p>
      <w:pPr>
        <w:pStyle w:val="ListBullet"/>
      </w:pPr>
      <w:r>
        <w:t>Regional Funds: Lombardia/Lazio innovation funds lack ownership transparency</w:t>
      </w:r>
    </w:p>
    <w:p>
      <w:pPr>
        <w:pStyle w:val="ListBullet"/>
      </w:pPr>
      <w:r>
        <w:t>Venture Capital: PRC LPs in EU funds creating indirect access</w:t>
      </w:r>
    </w:p>
    <w:p>
      <w:pPr>
        <w:pStyle w:val="Heading2"/>
      </w:pPr>
      <w:r>
        <w:t>6. Early Warning Indicators (EWI)</w:t>
      </w:r>
    </w:p>
    <w:p>
      <w:r>
        <w:t>ChatGPT proposes specific metrics:</w:t>
      </w:r>
    </w:p>
    <w:p>
      <w:pPr>
        <w:pStyle w:val="ListBullet"/>
      </w:pPr>
      <w:r>
        <w:t>TED Procurement: 90-day rolling counts on security-relevant CPVs</w:t>
      </w:r>
    </w:p>
    <w:p>
      <w:pPr>
        <w:pStyle w:val="ListBullet"/>
      </w:pPr>
      <w:r>
        <w:t>Standards Momentum: Quarterly role weights (member=1, rapporteur=3, editor=5)</w:t>
      </w:r>
    </w:p>
    <w:p>
      <w:pPr>
        <w:pStyle w:val="ListBullet"/>
      </w:pPr>
      <w:r>
        <w:t>DIANA/NATO Pipeline: Additions to Italy-linked accelerators/test centers</w:t>
      </w:r>
    </w:p>
    <w:p>
      <w:pPr>
        <w:pStyle w:val="ListBullet"/>
      </w:pPr>
      <w:r>
        <w:t>Conference Metrics: Attendance rates, repeaters, triad co-appearances</w:t>
      </w:r>
    </w:p>
    <w:p>
      <w:pPr>
        <w:pStyle w:val="Heading2"/>
      </w:pPr>
      <w:r>
        <w:t>7. Negative Evidence (What's NOT Happening)</w:t>
      </w:r>
    </w:p>
    <w:p>
      <w:r>
        <w:t>ChatGPT explicitly notes absence of:</w:t>
      </w:r>
    </w:p>
    <w:p>
      <w:pPr>
        <w:pStyle w:val="ListBullet"/>
      </w:pPr>
      <w:r>
        <w:t>Direct PRC involvement in Italian nuclear sector</w:t>
      </w:r>
    </w:p>
    <w:p>
      <w:pPr>
        <w:pStyle w:val="ListBullet"/>
      </w:pPr>
      <w:r>
        <w:t>Confirmed military technology transfers</w:t>
      </w:r>
    </w:p>
    <w:p>
      <w:pPr>
        <w:pStyle w:val="ListBullet"/>
      </w:pPr>
      <w:r>
        <w:t>Large-scale Chinese ownership in aerospace primes</w:t>
      </w:r>
    </w:p>
    <w:p>
      <w:pPr>
        <w:pStyle w:val="ListBullet"/>
      </w:pPr>
      <w:r>
        <w:t>Systematic targeting of Arctic technologies (Italy not Arctic-adjacent)</w:t>
      </w:r>
    </w:p>
    <w:p>
      <w:pPr>
        <w:pStyle w:val="Heading1"/>
      </w:pPr>
      <w:r>
        <w:t>Refined Intelligence Requirements</w:t>
      </w:r>
    </w:p>
    <w:p>
      <w:pPr>
        <w:pStyle w:val="Heading2"/>
      </w:pPr>
      <w:r>
        <w:t>Priority Data Gaps</w:t>
      </w:r>
    </w:p>
    <w:p>
      <w:pPr>
        <w:pStyle w:val="Heading3"/>
      </w:pPr>
      <w:r>
        <w:t>1. Quantified Academic Presence</w:t>
      </w:r>
    </w:p>
    <w:p>
      <w:pPr>
        <w:pStyle w:val="ListBullet"/>
      </w:pPr>
      <w:r>
        <w:t>Actual numbers of Chinese researchers by institution and field</w:t>
      </w:r>
    </w:p>
    <w:p>
      <w:pPr>
        <w:pStyle w:val="ListBullet"/>
      </w:pPr>
      <w:r>
        <w:t>Breakdown: undergrad vs graduate vs postdoc vs visiting</w:t>
      </w:r>
    </w:p>
    <w:p>
      <w:pPr>
        <w:pStyle w:val="ListBullet"/>
      </w:pPr>
      <w:r>
        <w:t>Temporal trends accounting for COVID impact (2020-2022 baseline disruption)</w:t>
      </w:r>
    </w:p>
    <w:p>
      <w:pPr>
        <w:pStyle w:val="ListBullet"/>
      </w:pPr>
      <w:r>
        <w:t>Geographic distribution (NUTS-2 regions)</w:t>
      </w:r>
    </w:p>
    <w:p>
      <w:pPr>
        <w:pStyle w:val="Heading3"/>
      </w:pPr>
      <w:r>
        <w:t>2. Conference Intelligence</w:t>
      </w:r>
    </w:p>
    <w:p>
      <w:pPr>
        <w:pStyle w:val="ListBullet"/>
      </w:pPr>
      <w:r>
        <w:t>Complete rosters for Tier-1/2 events (2020-2024)</w:t>
      </w:r>
    </w:p>
    <w:p>
      <w:pPr>
        <w:pStyle w:val="ListBullet"/>
      </w:pPr>
      <w:r>
        <w:t>Side meeting records and MoU timings</w:t>
      </w:r>
    </w:p>
    <w:p>
      <w:pPr>
        <w:pStyle w:val="ListBullet"/>
      </w:pPr>
      <w:r>
        <w:t>Technology disclosure assessments at panel/session level</w:t>
      </w:r>
    </w:p>
    <w:p>
      <w:pPr>
        <w:pStyle w:val="Heading3"/>
      </w:pPr>
      <w:r>
        <w:t>3. Supply Chain Mapping</w:t>
      </w:r>
    </w:p>
    <w:p>
      <w:pPr>
        <w:pStyle w:val="ListBullet"/>
      </w:pPr>
      <w:r>
        <w:t>Complete CAGE/NCAGE registry with China exposure flags</w:t>
      </w:r>
    </w:p>
    <w:p>
      <w:pPr>
        <w:pStyle w:val="ListBullet"/>
      </w:pPr>
      <w:r>
        <w:t>Tier-2/3 supplier dependencies</w:t>
      </w:r>
    </w:p>
    <w:p>
      <w:pPr>
        <w:pStyle w:val="ListBullet"/>
      </w:pPr>
      <w:r>
        <w:t>Replacement feasibility assessments</w:t>
      </w:r>
    </w:p>
    <w:p>
      <w:pPr>
        <w:pStyle w:val="Heading3"/>
      </w:pPr>
      <w:r>
        <w:t>4. Funding Transparency</w:t>
      </w:r>
    </w:p>
    <w:p>
      <w:pPr>
        <w:pStyle w:val="ListBullet"/>
      </w:pPr>
      <w:r>
        <w:t>LEI parent chains for all grant recipients</w:t>
      </w:r>
    </w:p>
    <w:p>
      <w:pPr>
        <w:pStyle w:val="ListBullet"/>
      </w:pPr>
      <w:r>
        <w:t>Ultimate beneficial ownership for spin-outs</w:t>
      </w:r>
    </w:p>
    <w:p>
      <w:pPr>
        <w:pStyle w:val="ListBullet"/>
      </w:pPr>
      <w:r>
        <w:t>Hidden PRC funding through third countries</w:t>
      </w:r>
    </w:p>
    <w:p>
      <w:pPr>
        <w:pStyle w:val="Heading1"/>
      </w:pPr>
      <w:r>
        <w:t>Nuanced Risk Assessment</w:t>
      </w:r>
    </w:p>
    <w:p>
      <w:pPr>
        <w:pStyle w:val="Heading2"/>
      </w:pPr>
      <w:r>
        <w:t>High-Confidence Risks</w:t>
      </w:r>
    </w:p>
    <w:p>
      <w:pPr>
        <w:pStyle w:val="ListBullet"/>
      </w:pPr>
      <w:r>
        <w:t>Conference-enabled partnerships creating unvetted technology transfer</w:t>
      </w:r>
    </w:p>
    <w:p>
      <w:pPr>
        <w:pStyle w:val="ListBullet"/>
      </w:pPr>
      <w:r>
        <w:t>Supply chain single points of failure (actuators, GPUs, cryogenics)</w:t>
      </w:r>
    </w:p>
    <w:p>
      <w:pPr>
        <w:pStyle w:val="ListBullet"/>
      </w:pPr>
      <w:r>
        <w:t>Weak oversight of visiting scholars in dual-use domains</w:t>
      </w:r>
    </w:p>
    <w:p>
      <w:pPr>
        <w:pStyle w:val="ListBullet"/>
      </w:pPr>
      <w:r>
        <w:t>Opaque funding chains enabling indirect PRC access</w:t>
      </w:r>
    </w:p>
    <w:p>
      <w:pPr>
        <w:pStyle w:val="Heading2"/>
      </w:pPr>
      <w:r>
        <w:t>Medium-Confidence Concerns</w:t>
      </w:r>
    </w:p>
    <w:p>
      <w:pPr>
        <w:pStyle w:val="ListBullet"/>
      </w:pPr>
      <w:r>
        <w:t>Scale of talent recruitment programs (evidence of activity, not quantified)</w:t>
      </w:r>
    </w:p>
    <w:p>
      <w:pPr>
        <w:pStyle w:val="ListBullet"/>
      </w:pPr>
      <w:r>
        <w:t>Technology leakage through joint ventures</w:t>
      </w:r>
    </w:p>
    <w:p>
      <w:pPr>
        <w:pStyle w:val="ListBullet"/>
      </w:pPr>
      <w:r>
        <w:t>Standards influence through committee positions</w:t>
      </w:r>
    </w:p>
    <w:p>
      <w:pPr>
        <w:pStyle w:val="ListBullet"/>
      </w:pPr>
      <w:r>
        <w:t>Regional innovation fund exploitation</w:t>
      </w:r>
    </w:p>
    <w:p>
      <w:pPr>
        <w:pStyle w:val="Heading2"/>
      </w:pPr>
      <w:r>
        <w:t>Low-Confidence/Speculative</w:t>
      </w:r>
    </w:p>
    <w:p>
      <w:pPr>
        <w:pStyle w:val="ListBullet"/>
      </w:pPr>
      <w:r>
        <w:t>Specific numbers of Chinese students/researchers</w:t>
      </w:r>
    </w:p>
    <w:p>
      <w:pPr>
        <w:pStyle w:val="ListBullet"/>
      </w:pPr>
      <w:r>
        <w:t>Direct military technology transfer</w:t>
      </w:r>
    </w:p>
    <w:p>
      <w:pPr>
        <w:pStyle w:val="ListBullet"/>
      </w:pPr>
      <w:r>
        <w:t>Systematic IP theft (activity yes, systematic orchestration uncertain)</w:t>
      </w:r>
    </w:p>
    <w:p>
      <w:pPr>
        <w:pStyle w:val="Heading1"/>
      </w:pPr>
      <w:r>
        <w:t>Recommendations for Next Phase</w:t>
      </w:r>
    </w:p>
    <w:p>
      <w:pPr>
        <w:pStyle w:val="Heading2"/>
      </w:pPr>
      <w:r>
        <w:t>Immediate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Action 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Deploy conference monitoring for upcoming 2025 events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Map supply chain dependencies with criticality scoring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Establish MoU registry requirement for all research institutions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Implement visiting scholar vetting protocols</w:t>
            </w:r>
          </w:p>
        </w:tc>
      </w:tr>
    </w:tbl>
    <w:p>
      <w:pPr>
        <w:pStyle w:val="Heading2"/>
      </w:pPr>
      <w:r>
        <w:t>Data Collection Priorities</w:t>
      </w:r>
    </w:p>
    <w:p>
      <w:pPr>
        <w:pStyle w:val="ListBullet"/>
      </w:pPr>
      <w:r>
        <w:t>TED Database Mining: Extract all procurement awards to Chinese entities</w:t>
      </w:r>
    </w:p>
    <w:p>
      <w:pPr>
        <w:pStyle w:val="ListBullet"/>
      </w:pPr>
      <w:r>
        <w:t>Conference Archives: Reconstruct 2020-2024 attendance patterns</w:t>
      </w:r>
    </w:p>
    <w:p>
      <w:pPr>
        <w:pStyle w:val="ListBullet"/>
      </w:pPr>
      <w:r>
        <w:t>Patent Analysis: Map co-assignments and technology flows</w:t>
      </w:r>
    </w:p>
    <w:p>
      <w:pPr>
        <w:pStyle w:val="ListBullet"/>
      </w:pPr>
      <w:r>
        <w:t>Academic Census: Quantify foreign researcher presence properly</w:t>
      </w:r>
    </w:p>
    <w:p>
      <w:pPr>
        <w:pStyle w:val="Heading2"/>
      </w:pPr>
      <w:r>
        <w:t>Analytical Focus</w:t>
      </w:r>
    </w:p>
    <w:p>
      <w:pPr>
        <w:pStyle w:val="ListBullet"/>
      </w:pPr>
      <w:r>
        <w:t>Move beyond "China = bad" to specific vulnerability identification</w:t>
      </w:r>
    </w:p>
    <w:p>
      <w:pPr>
        <w:pStyle w:val="ListBullet"/>
      </w:pPr>
      <w:r>
        <w:t>Map legitimate collaboration vs exploitation pathways</w:t>
      </w:r>
    </w:p>
    <w:p>
      <w:pPr>
        <w:pStyle w:val="ListBullet"/>
      </w:pPr>
      <w:r>
        <w:t>Account for COVID baseline disruptions in trend analysis</w:t>
      </w:r>
    </w:p>
    <w:p>
      <w:pPr>
        <w:pStyle w:val="ListBullet"/>
      </w:pPr>
      <w:r>
        <w:t>Distinguish between presence and actual risk</w:t>
      </w:r>
    </w:p>
    <w:p>
      <w:pPr>
        <w:pStyle w:val="Heading1"/>
      </w:pPr>
      <w:r>
        <w:t>Quality Assessment of ChatGPT Analysis</w:t>
      </w:r>
    </w:p>
    <w:p>
      <w:pPr>
        <w:pStyle w:val="Heading2"/>
      </w:pPr>
      <w:r>
        <w:t>Strengths</w:t>
      </w:r>
    </w:p>
    <w:p>
      <w:pPr>
        <w:pStyle w:val="ListBullet"/>
      </w:pPr>
      <w:r>
        <w:t>Comprehensive framework covering 13 phases</w:t>
      </w:r>
    </w:p>
    <w:p>
      <w:pPr>
        <w:pStyle w:val="ListBullet"/>
      </w:pPr>
      <w:r>
        <w:t>Strong emphasis on conference intelligence (often overlooked)</w:t>
      </w:r>
    </w:p>
    <w:p>
      <w:pPr>
        <w:pStyle w:val="ListBullet"/>
      </w:pPr>
      <w:r>
        <w:t>Supply chain vulnerability identification</w:t>
      </w:r>
    </w:p>
    <w:p>
      <w:pPr>
        <w:pStyle w:val="ListBullet"/>
      </w:pPr>
      <w:r>
        <w:t>Clear data gap acknowledgment</w:t>
      </w:r>
    </w:p>
    <w:p>
      <w:pPr>
        <w:pStyle w:val="Heading2"/>
      </w:pPr>
      <w:r>
        <w:t>Weaknesses</w:t>
      </w:r>
    </w:p>
    <w:p>
      <w:pPr>
        <w:pStyle w:val="ListBullet"/>
      </w:pPr>
      <w:r>
        <w:t>Lack of quantitative baselines</w:t>
      </w:r>
    </w:p>
    <w:p>
      <w:pPr>
        <w:pStyle w:val="ListBullet"/>
      </w:pPr>
      <w:r>
        <w:t>Limited specific examples/cases</w:t>
      </w:r>
    </w:p>
    <w:p>
      <w:pPr>
        <w:pStyle w:val="ListBullet"/>
      </w:pPr>
      <w:r>
        <w:t>Minimal use of open-source intelligence</w:t>
      </w:r>
    </w:p>
    <w:p>
      <w:pPr>
        <w:pStyle w:val="ListBullet"/>
      </w:pPr>
      <w:r>
        <w:t>Arctic analysis included despite Italy's non-Arctic status</w:t>
      </w:r>
    </w:p>
    <w:p>
      <w:pPr>
        <w:pStyle w:val="Heading2"/>
      </w:pPr>
      <w:r>
        <w:t>Missing Elements</w:t>
      </w:r>
    </w:p>
    <w:p>
      <w:pPr>
        <w:pStyle w:val="ListBullet"/>
      </w:pPr>
      <w:r>
        <w:t>No analysis of Belt and Road legacy impacts (Italy withdrew 2024)</w:t>
      </w:r>
    </w:p>
    <w:p>
      <w:pPr>
        <w:pStyle w:val="ListBullet"/>
      </w:pPr>
      <w:r>
        <w:t>Limited coverage of port infrastructure (Genoa, Trieste critical)</w:t>
      </w:r>
    </w:p>
    <w:p>
      <w:pPr>
        <w:pStyle w:val="ListBullet"/>
      </w:pPr>
      <w:r>
        <w:t>Insufficient focus on maritime domain</w:t>
      </w:r>
    </w:p>
    <w:p>
      <w:pPr>
        <w:pStyle w:val="ListBullet"/>
      </w:pPr>
      <w:r>
        <w:t>No discussion of EU regulatory environment impact</w:t>
      </w:r>
    </w:p>
    <w:p>
      <w:pPr>
        <w:pStyle w:val="Heading1"/>
      </w:pPr>
      <w:r>
        <w:t>Conclusion</w:t>
      </w:r>
    </w:p>
    <w:p>
      <w:r>
        <w:t>ChatGPT's Italy analysis provides a robust framework but lacks specific intelligence data. The emphasis on conference-enabled partnerships and supply chain vulnerabilities is valuable. However, critical gaps remain in quantifying academic presence, tracking funding flows, and mapping actual technology transfer incidents.</w:t>
      </w:r>
    </w:p>
    <w:p>
      <w:r>
        <w:br/>
        <w:t>The erroneous "9,278 Chinese STEM students" figure highlighted the importance of:</w:t>
      </w:r>
    </w:p>
    <w:p>
      <w:pPr>
        <w:pStyle w:val="ListBullet"/>
      </w:pPr>
      <w:r>
        <w:t>Verifying specific numbers with primary sources</w:t>
      </w:r>
    </w:p>
    <w:p>
      <w:pPr>
        <w:pStyle w:val="ListBullet"/>
      </w:pPr>
      <w:r>
        <w:t>Avoiding reductive "China = bad" narratives</w:t>
      </w:r>
    </w:p>
    <w:p>
      <w:pPr>
        <w:pStyle w:val="ListBullet"/>
      </w:pPr>
      <w:r>
        <w:t>Distinguishing between presence and actual risk</w:t>
      </w:r>
    </w:p>
    <w:p>
      <w:pPr>
        <w:pStyle w:val="ListBullet"/>
      </w:pPr>
      <w:r>
        <w:t>Accounting for temporal factors (COVID disruption)</w:t>
      </w:r>
    </w:p>
    <w:p>
      <w:r>
        <w:br/>
        <w:t>Next steps should focus on populating ChatGPT's framework with actual intelligence data from TED procurement records, conference archives, and patent databases.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