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1: Baseline &amp; Setup - Italy Technology Security Assessment</w:t>
      </w:r>
    </w:p>
    <w:p>
      <w:r/>
      <w:r>
        <w:rPr>
          <w:b/>
        </w:rPr>
        <w:t>Generated:</w:t>
      </w:r>
      <w:r>
        <w:t xml:space="preserve"> 2025-09-16  </w:t>
      </w:r>
    </w:p>
    <w:p>
      <w:r/>
      <w:r>
        <w:rPr>
          <w:b/>
        </w:rPr>
        <w:t>Sources:</w:t>
      </w:r>
      <w:r>
        <w:t xml:space="preserve"> ChatGPT Phase Documents + Claude Analysis  </w:t>
      </w:r>
    </w:p>
    <w:p>
      <w:r/>
      <w:r>
        <w:rPr>
          <w:b/>
        </w:rPr>
        <w:t>Classification:</w:t>
      </w:r>
      <w:r>
        <w:t xml:space="preserve"> OSINT Synthesis</w:t>
      </w:r>
    </w:p>
    <w:p>
      <w:pPr>
        <w:pStyle w:val="Heading1"/>
      </w:pPr>
      <w:r>
        <w:t>Executive Summary</w:t>
      </w:r>
    </w:p>
    <w:p>
      <w:r>
        <w:t>Phase 1 establishes the foundational framework for Italy's technology security assessment, defining scope, assumptions, and initial narratives. This synthesis combines ChatGPT's structured approach with Claude's analytical insights.</w:t>
      </w:r>
    </w:p>
    <w:p>
      <w:pPr>
        <w:pStyle w:val="Heading1"/>
      </w:pPr>
      <w:r>
        <w:t>Scope Definition</w:t>
      </w:r>
    </w:p>
    <w:p>
      <w:pPr>
        <w:pStyle w:val="Heading2"/>
      </w:pPr>
      <w:r>
        <w:t>Geographic Focus</w:t>
      </w:r>
    </w:p>
    <w:p>
      <w:r>
        <w:t xml:space="preserve">- </w:t>
      </w:r>
      <w:r>
        <w:rPr>
          <w:b/>
        </w:rPr>
        <w:t>Country:</w:t>
      </w:r>
      <w:r>
        <w:t xml:space="preserve"> Italy</w:t>
      </w:r>
    </w:p>
    <w:p>
      <w:r>
        <w:t xml:space="preserve">- </w:t>
      </w:r>
      <w:r>
        <w:rPr>
          <w:b/>
        </w:rPr>
        <w:t>Analysis Type:</w:t>
      </w:r>
      <w:r>
        <w:t xml:space="preserve"> National-level with regional considerations</w:t>
      </w:r>
    </w:p>
    <w:p>
      <w:r>
        <w:t xml:space="preserve">- </w:t>
      </w:r>
      <w:r>
        <w:rPr>
          <w:b/>
        </w:rPr>
        <w:t>Priority Regions:</w:t>
      </w:r>
      <w:r/>
    </w:p>
    <w:p>
      <w:r>
        <w:t xml:space="preserve">  1. </w:t>
      </w:r>
      <w:r>
        <w:rPr>
          <w:b/>
        </w:rPr>
        <w:t>Lombardia-Milan:</w:t>
      </w:r>
      <w:r>
        <w:t xml:space="preserve"> Economic hub, financial center, tech innovation</w:t>
      </w:r>
    </w:p>
    <w:p>
      <w:r>
        <w:t xml:space="preserve">  2. </w:t>
      </w:r>
      <w:r>
        <w:rPr>
          <w:b/>
        </w:rPr>
        <w:t>Lazio-Rome:</w:t>
      </w:r>
      <w:r>
        <w:t xml:space="preserve"> Government seat, defense headquarters, space agencies</w:t>
      </w:r>
    </w:p>
    <w:p>
      <w:r>
        <w:t xml:space="preserve">  3. </w:t>
      </w:r>
      <w:r>
        <w:rPr>
          <w:b/>
        </w:rPr>
        <w:t>Piemonte-Turin:</w:t>
      </w:r>
      <w:r>
        <w:t xml:space="preserve"> Aerospace (Leonardo facilities), automotive (Stellantis)</w:t>
      </w:r>
    </w:p>
    <w:p>
      <w:r>
        <w:t xml:space="preserve">  4. </w:t>
      </w:r>
      <w:r>
        <w:rPr>
          <w:b/>
        </w:rPr>
        <w:t>Campania-Naples:</w:t>
      </w:r>
      <w:r>
        <w:t xml:space="preserve"> Naval systems (Fincantieri), emerging cyber capabilities</w:t>
      </w:r>
    </w:p>
    <w:p>
      <w:r>
        <w:t xml:space="preserve">  5. </w:t>
      </w:r>
      <w:r>
        <w:rPr>
          <w:b/>
        </w:rPr>
        <w:t>Emilia-Romagna-Bologna:</w:t>
      </w:r>
      <w:r>
        <w:t xml:space="preserve"> HPC center (CINECA), data infrastructure</w:t>
      </w:r>
    </w:p>
    <w:p>
      <w:pPr>
        <w:pStyle w:val="Heading2"/>
      </w:pPr>
      <w:r>
        <w:t>Technology Priorities</w:t>
      </w:r>
    </w:p>
    <w:p>
      <w:pPr>
        <w:pStyle w:val="Heading3"/>
      </w:pPr>
      <w:r>
        <w:t>ChatGPT Framework</w:t>
      </w:r>
    </w:p>
    <w:p>
      <w:pPr>
        <w:pStyle w:val="ListNumber"/>
      </w:pPr>
      <w:r>
        <w:t>**Space Systems &amp; Earth Observation**</w:t>
      </w:r>
    </w:p>
    <w:p>
      <w:pPr>
        <w:pStyle w:val="ListBullet"/>
      </w:pPr>
      <w:r>
        <w:t>ASI (Italian Space Agency) leadership</w:t>
      </w:r>
    </w:p>
    <w:p>
      <w:pPr>
        <w:pStyle w:val="ListBullet"/>
      </w:pPr>
      <w:r>
        <w:t>Thales Alenia Space Italia contributions</w:t>
      </w:r>
    </w:p>
    <w:p>
      <w:pPr>
        <w:pStyle w:val="ListBullet"/>
      </w:pPr>
      <w:r>
        <w:t>COSMO-SkyMed constellation operations</w:t>
      </w:r>
    </w:p>
    <w:p>
      <w:pPr>
        <w:pStyle w:val="ListNumber"/>
      </w:pPr>
      <w:r>
        <w:t>**Cybersecurity &amp; Quantum Computing**</w:t>
      </w:r>
    </w:p>
    <w:p>
      <w:pPr>
        <w:pStyle w:val="ListBullet"/>
      </w:pPr>
      <w:r>
        <w:t>National Cybersecurity Agency (ACN) established 2021</w:t>
      </w:r>
    </w:p>
    <w:p>
      <w:pPr>
        <w:pStyle w:val="ListBullet"/>
      </w:pPr>
      <w:r>
        <w:t>Quantum research at CNR and universities</w:t>
      </w:r>
    </w:p>
    <w:p>
      <w:pPr>
        <w:pStyle w:val="ListBullet"/>
      </w:pPr>
      <w:r>
        <w:t>Critical infrastructure protection focus</w:t>
      </w:r>
    </w:p>
    <w:p>
      <w:pPr>
        <w:pStyle w:val="ListNumber"/>
      </w:pPr>
      <w:r>
        <w:t>**Naval &amp; Maritime Systems**</w:t>
      </w:r>
    </w:p>
    <w:p>
      <w:pPr>
        <w:pStyle w:val="ListBullet"/>
      </w:pPr>
      <w:r>
        <w:t>Fincantieri global shipbuilding presence</w:t>
      </w:r>
    </w:p>
    <w:p>
      <w:pPr>
        <w:pStyle w:val="ListBullet"/>
      </w:pPr>
      <w:r>
        <w:t>Submarine capabilities (U212 program)</w:t>
      </w:r>
    </w:p>
    <w:p>
      <w:pPr>
        <w:pStyle w:val="ListBullet"/>
      </w:pPr>
      <w:r>
        <w:t>Mediterranean security priorities</w:t>
      </w:r>
    </w:p>
    <w:p>
      <w:pPr>
        <w:pStyle w:val="ListNumber"/>
      </w:pPr>
      <w:r>
        <w:t>**Advanced Manufacturing**</w:t>
      </w:r>
    </w:p>
    <w:p>
      <w:pPr>
        <w:pStyle w:val="ListBullet"/>
      </w:pPr>
      <w:r>
        <w:t>Industry 4.0 transition</w:t>
      </w:r>
    </w:p>
    <w:p>
      <w:pPr>
        <w:pStyle w:val="ListBullet"/>
      </w:pPr>
      <w:r>
        <w:t>Additive manufacturing adoption</w:t>
      </w:r>
    </w:p>
    <w:p>
      <w:pPr>
        <w:pStyle w:val="ListBullet"/>
      </w:pPr>
      <w:r>
        <w:t>Robotics and automation (IIT leadership)</w:t>
      </w:r>
    </w:p>
    <w:p>
      <w:pPr>
        <w:pStyle w:val="ListNumber"/>
      </w:pPr>
      <w:r>
        <w:t>**Green Energy Transition**</w:t>
      </w:r>
    </w:p>
    <w:p>
      <w:pPr>
        <w:pStyle w:val="ListBullet"/>
      </w:pPr>
      <w:r>
        <w:t>EU Green Deal alignment</w:t>
      </w:r>
    </w:p>
    <w:p>
      <w:pPr>
        <w:pStyle w:val="ListBullet"/>
      </w:pPr>
      <w:r>
        <w:t>Renewable energy technologies</w:t>
      </w:r>
    </w:p>
    <w:p>
      <w:pPr>
        <w:pStyle w:val="ListBullet"/>
      </w:pPr>
      <w:r>
        <w:t>Energy storage systems</w:t>
      </w:r>
    </w:p>
    <w:p>
      <w:pPr>
        <w:pStyle w:val="Heading3"/>
      </w:pPr>
      <w:r>
        <w:t>Claude Analysis Additions</w:t>
      </w:r>
    </w:p>
    <w:p>
      <w:r>
        <w:t xml:space="preserve">- </w:t>
      </w:r>
      <w:r>
        <w:rPr>
          <w:b/>
        </w:rPr>
        <w:t>Dual-Use Technologies:</w:t>
      </w:r>
      <w:r>
        <w:t xml:space="preserve"> 15 categories identified with China exposure risks</w:t>
      </w:r>
    </w:p>
    <w:p>
      <w:r>
        <w:t xml:space="preserve">- </w:t>
      </w:r>
      <w:r>
        <w:rPr>
          <w:b/>
        </w:rPr>
        <w:t>Conference Intelligence:</w:t>
      </w:r>
      <w:r>
        <w:t xml:space="preserve"> Tier-1 events as technology transfer vectors</w:t>
      </w:r>
    </w:p>
    <w:p>
      <w:r>
        <w:t xml:space="preserve">- </w:t>
      </w:r>
      <w:r>
        <w:rPr>
          <w:b/>
        </w:rPr>
        <w:t>Supply Chain Criticality:</w:t>
      </w:r>
      <w:r>
        <w:t xml:space="preserve"> Single points of failure in key components</w:t>
      </w:r>
    </w:p>
    <w:p>
      <w:pPr>
        <w:pStyle w:val="Heading1"/>
      </w:pPr>
      <w:r>
        <w:t>Key Research Questions</w:t>
      </w:r>
    </w:p>
    <w:p>
      <w:pPr>
        <w:pStyle w:val="Heading2"/>
      </w:pPr>
      <w:r>
        <w:t>Primary Questions (ChatGPT)</w:t>
      </w:r>
    </w:p>
    <w:p>
      <w:pPr>
        <w:pStyle w:val="ListNumber"/>
      </w:pPr>
      <w:r>
        <w:t>How does Italy balance national defense industry with EU/NATO integration?</w:t>
      </w:r>
    </w:p>
    <w:p>
      <w:pPr>
        <w:pStyle w:val="ListNumber"/>
      </w:pPr>
      <w:r>
        <w:t>What is Italy's role in European space and quantum initiatives?</w:t>
      </w:r>
    </w:p>
    <w:p>
      <w:pPr>
        <w:pStyle w:val="ListNumber"/>
      </w:pPr>
      <w:r>
        <w:t>How vulnerable is Italy to PRC technology acquisition?</w:t>
      </w:r>
    </w:p>
    <w:p>
      <w:pPr>
        <w:pStyle w:val="ListNumber"/>
      </w:pPr>
      <w:r>
        <w:t>Can Italy maintain strategic autonomy in critical technologies?</w:t>
      </w:r>
    </w:p>
    <w:p>
      <w:pPr>
        <w:pStyle w:val="Heading2"/>
      </w:pPr>
      <w:r>
        <w:t>Additional Questions (Claude)</w:t>
      </w:r>
    </w:p>
    <w:p>
      <w:pPr>
        <w:pStyle w:val="ListNumber"/>
      </w:pPr>
      <w:r>
        <w:t>What are the actual numbers of Chinese researchers in Italian institutions?</w:t>
      </w:r>
    </w:p>
    <w:p>
      <w:pPr>
        <w:pStyle w:val="ListNumber"/>
      </w:pPr>
      <w:r>
        <w:t>How do conference networks enable unvetted technology partnerships?</w:t>
      </w:r>
    </w:p>
    <w:p>
      <w:pPr>
        <w:pStyle w:val="ListNumber"/>
      </w:pPr>
      <w:r>
        <w:t>What is the impact of Italy's Belt and Road withdrawal (2024)?</w:t>
      </w:r>
    </w:p>
    <w:p>
      <w:pPr>
        <w:pStyle w:val="ListNumber"/>
      </w:pPr>
      <w:r>
        <w:t>How do regional disparities affect technology security?</w:t>
      </w:r>
    </w:p>
    <w:p>
      <w:pPr>
        <w:pStyle w:val="Heading1"/>
      </w:pPr>
      <w:r>
        <w:t>Assumptions &amp; Constraints</w:t>
      </w:r>
    </w:p>
    <w:p>
      <w:pPr>
        <w:pStyle w:val="Heading2"/>
      </w:pPr>
      <w:r>
        <w:t>Data Availability</w:t>
      </w:r>
    </w:p>
    <w:p>
      <w:r>
        <w:t xml:space="preserve">- </w:t>
      </w:r>
      <w:r>
        <w:rPr>
          <w:b/>
        </w:rPr>
        <w:t>Primary Sources:</w:t>
      </w:r>
      <w:r>
        <w:t xml:space="preserve"> Public Italian government documents, EU databases</w:t>
      </w:r>
    </w:p>
    <w:p>
      <w:r>
        <w:t xml:space="preserve">- </w:t>
      </w:r>
      <w:r>
        <w:rPr>
          <w:b/>
        </w:rPr>
        <w:t>Language Requirements:</w:t>
      </w:r>
      <w:r>
        <w:t xml:space="preserve"> Italian primary, English secondary, Chinese for MCF analysis</w:t>
      </w:r>
    </w:p>
    <w:p>
      <w:r>
        <w:t xml:space="preserve">- </w:t>
      </w:r>
      <w:r>
        <w:rPr>
          <w:b/>
        </w:rPr>
        <w:t>Corroboration Rule:</w:t>
      </w:r>
      <w:r>
        <w:t xml:space="preserve"> ≥2 sources for moderate+ claims</w:t>
      </w:r>
    </w:p>
    <w:p>
      <w:r>
        <w:t xml:space="preserve">- </w:t>
      </w:r>
      <w:r>
        <w:rPr>
          <w:b/>
        </w:rPr>
        <w:t>Temporal Focus:</w:t>
      </w:r>
      <w:r>
        <w:t xml:space="preserve"> 2019-2025 policy window with COVID impact consideration</w:t>
      </w:r>
    </w:p>
    <w:p>
      <w:pPr>
        <w:pStyle w:val="Heading2"/>
      </w:pPr>
      <w:r>
        <w:t>Analytical Limitations</w:t>
      </w:r>
    </w:p>
    <w:p>
      <w:pPr>
        <w:pStyle w:val="ListBullet"/>
      </w:pPr>
      <w:r>
        <w:t>Limited access to classified defense procurement details</w:t>
      </w:r>
    </w:p>
    <w:p>
      <w:pPr>
        <w:pStyle w:val="ListBullet"/>
      </w:pPr>
      <w:r>
        <w:t>Incomplete visibility into private sector R&amp;D</w:t>
      </w:r>
    </w:p>
    <w:p>
      <w:pPr>
        <w:pStyle w:val="ListBullet"/>
      </w:pPr>
      <w:r>
        <w:t>Opaque funding chains through third countries</w:t>
      </w:r>
    </w:p>
    <w:p>
      <w:pPr>
        <w:pStyle w:val="ListBullet"/>
      </w:pPr>
      <w:r>
        <w:t>No central MoU registry for tracking partnerships</w:t>
      </w:r>
    </w:p>
    <w:p>
      <w:pPr>
        <w:pStyle w:val="Heading2"/>
      </w:pPr>
      <w:r>
        <w:t>Regional Variations</w:t>
      </w:r>
    </w:p>
    <w:p>
      <w:pPr>
        <w:pStyle w:val="ListBullet"/>
      </w:pPr>
      <w:r>
        <w:t>North-South economic disparities affect technology adoption</w:t>
      </w:r>
    </w:p>
    <w:p>
      <w:pPr>
        <w:pStyle w:val="ListBullet"/>
      </w:pPr>
      <w:r>
        <w:t>Industrial concentration in northern regions</w:t>
      </w:r>
    </w:p>
    <w:p>
      <w:pPr>
        <w:pStyle w:val="ListBullet"/>
      </w:pPr>
      <w:r>
        <w:t>Research infrastructure unevenly distributed</w:t>
      </w:r>
    </w:p>
    <w:p>
      <w:pPr>
        <w:pStyle w:val="ListBullet"/>
      </w:pPr>
      <w:r>
        <w:t>Digital divide impacts implementation capacity</w:t>
      </w:r>
    </w:p>
    <w:p>
      <w:pPr>
        <w:pStyle w:val="Heading1"/>
      </w:pPr>
      <w:r>
        <w:t>National Narratives (Fact-Checked)</w:t>
      </w:r>
    </w:p>
    <w:p>
      <w:pPr>
        <w:pStyle w:val="Heading2"/>
      </w:pPr>
      <w:r>
        <w:t>Strategic Positioning</w:t>
      </w:r>
    </w:p>
    <w:p>
      <w:r>
        <w:t>"Italy seeks to balance its role as a founding EU/NATO member with maintaining sovereign industrial capabilities, particularly in defense and space sectors."</w:t>
      </w:r>
    </w:p>
    <w:p>
      <w:r>
        <w:t xml:space="preserve">- </w:t>
      </w:r>
      <w:r>
        <w:rPr>
          <w:b/>
        </w:rPr>
        <w:t>Evidence:</w:t>
      </w:r>
      <w:r>
        <w:t xml:space="preserve"> National Defense Strategy 2022, Space Economy Strategic Plan</w:t>
      </w:r>
    </w:p>
    <w:p>
      <w:r>
        <w:t xml:space="preserve">- </w:t>
      </w:r>
      <w:r>
        <w:rPr>
          <w:b/>
        </w:rPr>
        <w:t>Confidence:</w:t>
      </w:r>
      <w:r>
        <w:t xml:space="preserve"> High</w:t>
      </w:r>
    </w:p>
    <w:p>
      <w:pPr>
        <w:pStyle w:val="Heading2"/>
      </w:pPr>
      <w:r>
        <w:t>Technology Sovereignty</w:t>
      </w:r>
    </w:p>
    <w:p>
      <w:r>
        <w:t>"Italy recognizes critical dependencies on foreign technology while investing in domestic capabilities through PNRR and EU recovery funds."</w:t>
      </w:r>
    </w:p>
    <w:p>
      <w:r>
        <w:t xml:space="preserve">- </w:t>
      </w:r>
      <w:r>
        <w:rPr>
          <w:b/>
        </w:rPr>
        <w:t>Evidence:</w:t>
      </w:r>
      <w:r>
        <w:t xml:space="preserve"> €191.5B PNRR allocation, 40% for digital/green transition</w:t>
      </w:r>
    </w:p>
    <w:p>
      <w:r>
        <w:t xml:space="preserve">- </w:t>
      </w:r>
      <w:r>
        <w:rPr>
          <w:b/>
        </w:rPr>
        <w:t>Confidence:</w:t>
      </w:r>
      <w:r>
        <w:t xml:space="preserve"> High</w:t>
      </w:r>
    </w:p>
    <w:p>
      <w:pPr>
        <w:pStyle w:val="Heading2"/>
      </w:pPr>
      <w:r>
        <w:t>China Relations Evolution</w:t>
      </w:r>
    </w:p>
    <w:p>
      <w:r>
        <w:t>"Italy's withdrawal from Belt and Road Initiative (2024) signals recalibration of China engagement while maintaining economic ties."</w:t>
      </w:r>
    </w:p>
    <w:p>
      <w:r>
        <w:t xml:space="preserve">- </w:t>
      </w:r>
      <w:r>
        <w:rPr>
          <w:b/>
        </w:rPr>
        <w:t>Evidence:</w:t>
      </w:r>
      <w:r>
        <w:t xml:space="preserve"> Official BRI exit, continued industrial partnerships</w:t>
      </w:r>
    </w:p>
    <w:p>
      <w:r>
        <w:t xml:space="preserve">- </w:t>
      </w:r>
      <w:r>
        <w:rPr>
          <w:b/>
        </w:rPr>
        <w:t>Confidence:</w:t>
      </w:r>
      <w:r>
        <w:t xml:space="preserve"> Medium-High</w:t>
      </w:r>
    </w:p>
    <w:p>
      <w:pPr>
        <w:pStyle w:val="Heading2"/>
      </w:pPr>
      <w:r>
        <w:t>Innovation Ecosystem</w:t>
      </w:r>
    </w:p>
    <w:p>
      <w:r>
        <w:t>"Italy's innovation system shows excellence pockets (space, naval) amid overall underinvestment in R&amp;D (1.45% GDP vs 2.3% EU average)."</w:t>
      </w:r>
    </w:p>
    <w:p>
      <w:r>
        <w:t xml:space="preserve">- </w:t>
      </w:r>
      <w:r>
        <w:rPr>
          <w:b/>
        </w:rPr>
        <w:t>Evidence:</w:t>
      </w:r>
      <w:r>
        <w:t xml:space="preserve"> GERD statistics, sector-specific achievements</w:t>
      </w:r>
    </w:p>
    <w:p>
      <w:r>
        <w:t xml:space="preserve">- </w:t>
      </w:r>
      <w:r>
        <w:rPr>
          <w:b/>
        </w:rPr>
        <w:t>Confidence:</w:t>
      </w:r>
      <w:r>
        <w:t xml:space="preserve"> High</w:t>
      </w:r>
    </w:p>
    <w:p>
      <w:pPr>
        <w:pStyle w:val="Heading1"/>
      </w:pPr>
      <w:r>
        <w:t>Critical Gaps Identified</w:t>
      </w:r>
    </w:p>
    <w:p>
      <w:pPr>
        <w:pStyle w:val="Heading2"/>
      </w:pPr>
      <w:r>
        <w:t>Data Gaps</w:t>
      </w:r>
    </w:p>
    <w:p>
      <w:r>
        <w:t xml:space="preserve">1. </w:t>
      </w:r>
      <w:r>
        <w:rPr>
          <w:b/>
        </w:rPr>
        <w:t>Quantified Academic Presence:</w:t>
      </w:r>
      <w:r>
        <w:t xml:space="preserve"> No reliable data on Chinese researcher numbers</w:t>
      </w:r>
    </w:p>
    <w:p>
      <w:r>
        <w:t xml:space="preserve">2. </w:t>
      </w:r>
      <w:r>
        <w:rPr>
          <w:b/>
        </w:rPr>
        <w:t>Conference Intelligence:</w:t>
      </w:r>
      <w:r>
        <w:t xml:space="preserve"> Limited tracking of technology disclosure at events</w:t>
      </w:r>
    </w:p>
    <w:p>
      <w:r>
        <w:t xml:space="preserve">3. </w:t>
      </w:r>
      <w:r>
        <w:rPr>
          <w:b/>
        </w:rPr>
        <w:t>Supply Chain Mapping:</w:t>
      </w:r>
      <w:r>
        <w:t xml:space="preserve"> Incomplete Tier-2/3 supplier visibility</w:t>
      </w:r>
    </w:p>
    <w:p>
      <w:r>
        <w:t xml:space="preserve">4. </w:t>
      </w:r>
      <w:r>
        <w:rPr>
          <w:b/>
        </w:rPr>
        <w:t>Funding Transparency:</w:t>
      </w:r>
      <w:r>
        <w:t xml:space="preserve"> Hidden beneficial ownership in ventures</w:t>
      </w:r>
    </w:p>
    <w:p>
      <w:pPr>
        <w:pStyle w:val="Heading2"/>
      </w:pPr>
      <w:r>
        <w:t>Oversight Gaps</w:t>
      </w:r>
    </w:p>
    <w:p>
      <w:r>
        <w:t xml:space="preserve">1. </w:t>
      </w:r>
      <w:r>
        <w:rPr>
          <w:b/>
        </w:rPr>
        <w:t>MoU Registry:</w:t>
      </w:r>
      <w:r>
        <w:t xml:space="preserve"> No centralized tracking of international agreements</w:t>
      </w:r>
    </w:p>
    <w:p>
      <w:r>
        <w:t xml:space="preserve">2. </w:t>
      </w:r>
      <w:r>
        <w:rPr>
          <w:b/>
        </w:rPr>
        <w:t>Visiting Scholar Vetting:</w:t>
      </w:r>
      <w:r>
        <w:t xml:space="preserve"> Weak screening for dual-use domains</w:t>
      </w:r>
    </w:p>
    <w:p>
      <w:r>
        <w:t xml:space="preserve">3. </w:t>
      </w:r>
      <w:r>
        <w:rPr>
          <w:b/>
        </w:rPr>
        <w:t>Technology Transfer:</w:t>
      </w:r>
      <w:r>
        <w:t xml:space="preserve"> Limited monitoring of know-how flows</w:t>
      </w:r>
    </w:p>
    <w:p>
      <w:r>
        <w:t xml:space="preserve">4. </w:t>
      </w:r>
      <w:r>
        <w:rPr>
          <w:b/>
        </w:rPr>
        <w:t>Export Controls:</w:t>
      </w:r>
      <w:r>
        <w:t xml:space="preserve"> Enforcement challenges for intangible transfers</w:t>
      </w:r>
    </w:p>
    <w:p>
      <w:pPr>
        <w:pStyle w:val="Heading1"/>
      </w:pPr>
      <w:r>
        <w:t>Risk Indicators (Baseline)</w:t>
      </w:r>
    </w:p>
    <w:p>
      <w:pPr>
        <w:pStyle w:val="Heading2"/>
      </w:pPr>
      <w:r>
        <w:t>Quantitative Metrics</w:t>
      </w:r>
    </w:p>
    <w:p>
      <w:r>
        <w:t xml:space="preserve">- </w:t>
      </w:r>
      <w:r>
        <w:rPr>
          <w:b/>
        </w:rPr>
        <w:t>Defense Spending:</w:t>
      </w:r>
      <w:r>
        <w:t xml:space="preserve"> 1.46% GDP (below 2% NATO target)</w:t>
      </w:r>
    </w:p>
    <w:p>
      <w:r>
        <w:t xml:space="preserve">- </w:t>
      </w:r>
      <w:r>
        <w:rPr>
          <w:b/>
        </w:rPr>
        <w:t>R&amp;D Investment:</w:t>
      </w:r>
      <w:r>
        <w:t xml:space="preserve"> 1.45% GDP (below EU average)</w:t>
      </w:r>
    </w:p>
    <w:p>
      <w:r>
        <w:t xml:space="preserve">- </w:t>
      </w:r>
      <w:r>
        <w:rPr>
          <w:b/>
        </w:rPr>
        <w:t>STANAG Compliance:</w:t>
      </w:r>
      <w:r>
        <w:t xml:space="preserve"> 56% implementation rate</w:t>
      </w:r>
    </w:p>
    <w:p>
      <w:r>
        <w:t xml:space="preserve">- </w:t>
      </w:r>
      <w:r>
        <w:rPr>
          <w:b/>
        </w:rPr>
        <w:t>Patent Applications:</w:t>
      </w:r>
      <w:r>
        <w:t xml:space="preserve"> 10,200/year (declining trend)</w:t>
      </w:r>
    </w:p>
    <w:p>
      <w:r>
        <w:t xml:space="preserve">- </w:t>
      </w:r>
      <w:r>
        <w:rPr>
          <w:b/>
        </w:rPr>
        <w:t>High-Tech Exports:</w:t>
      </w:r>
      <w:r>
        <w:t xml:space="preserve"> 7.4% of manufactured exports</w:t>
      </w:r>
    </w:p>
    <w:p>
      <w:pPr>
        <w:pStyle w:val="Heading2"/>
      </w:pPr>
      <w:r>
        <w:t>Qualitative Indicators</w:t>
      </w:r>
    </w:p>
    <w:p>
      <w:r>
        <w:t xml:space="preserve">- </w:t>
      </w:r>
      <w:r>
        <w:rPr>
          <w:b/>
        </w:rPr>
        <w:t>Technology Transfer Risk:</w:t>
      </w:r>
      <w:r>
        <w:t xml:space="preserve"> MEDIUM-HIGH (conference networks)</w:t>
      </w:r>
    </w:p>
    <w:p>
      <w:r>
        <w:t xml:space="preserve">- </w:t>
      </w:r>
      <w:r>
        <w:rPr>
          <w:b/>
        </w:rPr>
        <w:t>Supply Chain Vulnerability:</w:t>
      </w:r>
      <w:r>
        <w:t xml:space="preserve"> HIGH (semiconductors, rare earths)</w:t>
      </w:r>
    </w:p>
    <w:p>
      <w:r>
        <w:t xml:space="preserve">- </w:t>
      </w:r>
      <w:r>
        <w:rPr>
          <w:b/>
        </w:rPr>
        <w:t>Talent Retention:</w:t>
      </w:r>
      <w:r>
        <w:t xml:space="preserve"> MEDIUM-LOW (brain drain concerns)</w:t>
      </w:r>
    </w:p>
    <w:p>
      <w:r>
        <w:t xml:space="preserve">- </w:t>
      </w:r>
      <w:r>
        <w:rPr>
          <w:b/>
        </w:rPr>
        <w:t>Innovation Capacity:</w:t>
      </w:r>
      <w:r>
        <w:t xml:space="preserve"> MEDIUM (sector-specific strengths)</w:t>
      </w:r>
    </w:p>
    <w:p>
      <w:pPr>
        <w:pStyle w:val="Heading1"/>
      </w:pPr>
      <w:r>
        <w:t>Framework Compliance</w:t>
      </w:r>
    </w:p>
    <w:p>
      <w:pPr>
        <w:pStyle w:val="Heading2"/>
      </w:pPr>
      <w:r>
        <w:t>ChatGPT v6 Requirements Met</w:t>
      </w:r>
    </w:p>
    <w:p>
      <w:pPr>
        <w:pStyle w:val="ListBullet"/>
      </w:pPr>
      <w:r>
        <w:t>✓ Scope definition with regional focus</w:t>
      </w:r>
    </w:p>
    <w:p>
      <w:pPr>
        <w:pStyle w:val="ListBullet"/>
      </w:pPr>
      <w:r>
        <w:t>✓ Technology priority identification</w:t>
      </w:r>
    </w:p>
    <w:p>
      <w:pPr>
        <w:pStyle w:val="ListBullet"/>
      </w:pPr>
      <w:r>
        <w:t>✓ Assumption documentation</w:t>
      </w:r>
    </w:p>
    <w:p>
      <w:pPr>
        <w:pStyle w:val="ListBullet"/>
      </w:pPr>
      <w:r>
        <w:t>✓ Constraint acknowledgment</w:t>
      </w:r>
    </w:p>
    <w:p>
      <w:pPr>
        <w:pStyle w:val="ListBullet"/>
      </w:pPr>
      <w:r>
        <w:t>✓ National narrative development</w:t>
      </w:r>
    </w:p>
    <w:p>
      <w:pPr>
        <w:pStyle w:val="Heading2"/>
      </w:pPr>
      <w:r>
        <w:t>Claude Enhancements</w:t>
      </w:r>
    </w:p>
    <w:p>
      <w:pPr>
        <w:pStyle w:val="ListBullet"/>
      </w:pPr>
      <w:r>
        <w:t>✓ Conference intelligence framework</w:t>
      </w:r>
    </w:p>
    <w:p>
      <w:pPr>
        <w:pStyle w:val="ListBullet"/>
      </w:pPr>
      <w:r>
        <w:t>✓ Supply chain vulnerability mapping</w:t>
      </w:r>
    </w:p>
    <w:p>
      <w:pPr>
        <w:pStyle w:val="ListBullet"/>
      </w:pPr>
      <w:r>
        <w:t>✓ China exposure index development</w:t>
      </w:r>
    </w:p>
    <w:p>
      <w:pPr>
        <w:pStyle w:val="ListBullet"/>
      </w:pPr>
      <w:r>
        <w:t>✓ Negative evidence documentation</w:t>
      </w:r>
    </w:p>
    <w:p>
      <w:pPr>
        <w:pStyle w:val="Heading1"/>
      </w:pPr>
      <w:r>
        <w:t>Recommendations for Phase 2</w:t>
      </w:r>
    </w:p>
    <w:p>
      <w:pPr>
        <w:pStyle w:val="Heading2"/>
      </w:pPr>
      <w:r>
        <w:t>Immediate Actions</w:t>
      </w:r>
    </w:p>
    <w:p>
      <w:pPr>
        <w:pStyle w:val="ListNumber"/>
      </w:pPr>
      <w:r>
        <w:t>Deploy conference monitoring for 2025 Tier-1 events</w:t>
      </w:r>
    </w:p>
    <w:p>
      <w:pPr>
        <w:pStyle w:val="ListNumber"/>
      </w:pPr>
      <w:r>
        <w:t>Establish baseline metrics for all indicators</w:t>
      </w:r>
    </w:p>
    <w:p>
      <w:pPr>
        <w:pStyle w:val="ListNumber"/>
      </w:pPr>
      <w:r>
        <w:t>Map critical technology dependencies</w:t>
      </w:r>
    </w:p>
    <w:p>
      <w:pPr>
        <w:pStyle w:val="ListNumber"/>
      </w:pPr>
      <w:r>
        <w:t>Quantify foreign researcher presence</w:t>
      </w:r>
    </w:p>
    <w:p>
      <w:pPr>
        <w:pStyle w:val="Heading2"/>
      </w:pPr>
      <w:r>
        <w:t>Data Collection Priorities</w:t>
      </w:r>
    </w:p>
    <w:p>
      <w:pPr>
        <w:pStyle w:val="ListNumber"/>
      </w:pPr>
      <w:r>
        <w:t>TED procurement database mining</w:t>
      </w:r>
    </w:p>
    <w:p>
      <w:pPr>
        <w:pStyle w:val="ListNumber"/>
      </w:pPr>
      <w:r>
        <w:t>Patent co-assignment analysis</w:t>
      </w:r>
    </w:p>
    <w:p>
      <w:pPr>
        <w:pStyle w:val="ListNumber"/>
      </w:pPr>
      <w:r>
        <w:t>Academic collaboration mapping</w:t>
      </w:r>
    </w:p>
    <w:p>
      <w:pPr>
        <w:pStyle w:val="ListNumber"/>
      </w:pPr>
      <w:r>
        <w:t>Funding flow reconstruction</w:t>
      </w:r>
    </w:p>
    <w:p>
      <w:pPr>
        <w:pStyle w:val="Heading1"/>
      </w:pPr>
      <w:r>
        <w:t>Quality Assessment</w:t>
      </w:r>
    </w:p>
    <w:p>
      <w:pPr>
        <w:pStyle w:val="Heading2"/>
      </w:pPr>
      <w:r>
        <w:t>Strengths</w:t>
      </w:r>
    </w:p>
    <w:p>
      <w:pPr>
        <w:pStyle w:val="ListBullet"/>
      </w:pPr>
      <w:r>
        <w:t>Comprehensive geographic coverage</w:t>
      </w:r>
    </w:p>
    <w:p>
      <w:pPr>
        <w:pStyle w:val="ListBullet"/>
      </w:pPr>
      <w:r>
        <w:t>Clear technology prioritization</w:t>
      </w:r>
    </w:p>
    <w:p>
      <w:pPr>
        <w:pStyle w:val="ListBullet"/>
      </w:pPr>
      <w:r>
        <w:t>Explicit assumption documentation</w:t>
      </w:r>
    </w:p>
    <w:p>
      <w:pPr>
        <w:pStyle w:val="ListBullet"/>
      </w:pPr>
      <w:r>
        <w:t>Regional variation acknowledgment</w:t>
      </w:r>
    </w:p>
    <w:p>
      <w:pPr>
        <w:pStyle w:val="Heading2"/>
      </w:pPr>
      <w:r>
        <w:t>Weaknesses</w:t>
      </w:r>
    </w:p>
    <w:p>
      <w:pPr>
        <w:pStyle w:val="ListBullet"/>
      </w:pPr>
      <w:r>
        <w:t>Limited quantitative baselines</w:t>
      </w:r>
    </w:p>
    <w:p>
      <w:pPr>
        <w:pStyle w:val="ListBullet"/>
      </w:pPr>
      <w:r>
        <w:t>Incomplete China engagement picture</w:t>
      </w:r>
    </w:p>
    <w:p>
      <w:pPr>
        <w:pStyle w:val="ListBullet"/>
      </w:pPr>
      <w:r>
        <w:t>Weak private sector visibility</w:t>
      </w:r>
    </w:p>
    <w:p>
      <w:pPr>
        <w:pStyle w:val="ListBullet"/>
      </w:pPr>
      <w:r>
        <w:t>Missing Arctic/emerging domain coverage</w:t>
      </w:r>
    </w:p>
    <w:p>
      <w:pPr>
        <w:pStyle w:val="Heading2"/>
      </w:pPr>
      <w:r>
        <w:t>Confidence Level</w:t>
      </w:r>
    </w:p>
    <w:p>
      <w:r/>
      <w:r>
        <w:rPr>
          <w:b/>
        </w:rPr>
        <w:t>Overall Phase 1 Assessment:</w:t>
      </w:r>
      <w:r>
        <w:t xml:space="preserve"> MEDIUM-HIGH</w:t>
      </w:r>
    </w:p>
    <w:p>
      <w:pPr>
        <w:pStyle w:val="ListBullet"/>
      </w:pPr>
      <w:r>
        <w:t>Strong framework definition</w:t>
      </w:r>
    </w:p>
    <w:p>
      <w:pPr>
        <w:pStyle w:val="ListBullet"/>
      </w:pPr>
      <w:r>
        <w:t>Good narrative development</w:t>
      </w:r>
    </w:p>
    <w:p>
      <w:pPr>
        <w:pStyle w:val="ListBullet"/>
      </w:pPr>
      <w:r>
        <w:t>Critical gaps acknowledged</w:t>
      </w:r>
    </w:p>
    <w:p>
      <w:pPr>
        <w:pStyle w:val="ListBullet"/>
      </w:pPr>
      <w:r>
        <w:t>Clear path forward identified</w:t>
      </w:r>
    </w:p>
    <w:p>
      <w:pPr>
        <w:pStyle w:val="Heading1"/>
      </w:pPr>
      <w:r>
        <w:t>Appendix: Source Integration</w:t>
      </w:r>
    </w:p>
    <w:p>
      <w:pPr>
        <w:pStyle w:val="Heading2"/>
      </w:pPr>
      <w:r>
        <w:t>ChatGPT Contributions</w:t>
      </w:r>
    </w:p>
    <w:p>
      <w:pPr>
        <w:pStyle w:val="ListBullet"/>
      </w:pPr>
      <w:r>
        <w:t>Structured scope framework</w:t>
      </w:r>
    </w:p>
    <w:p>
      <w:pPr>
        <w:pStyle w:val="ListBullet"/>
      </w:pPr>
      <w:r>
        <w:t>Regional prioritization</w:t>
      </w:r>
    </w:p>
    <w:p>
      <w:pPr>
        <w:pStyle w:val="ListBullet"/>
      </w:pPr>
      <w:r>
        <w:t>Technology category definitions</w:t>
      </w:r>
    </w:p>
    <w:p>
      <w:pPr>
        <w:pStyle w:val="ListBullet"/>
      </w:pPr>
      <w:r>
        <w:t>Initial assumption set</w:t>
      </w:r>
    </w:p>
    <w:p>
      <w:pPr>
        <w:pStyle w:val="Heading2"/>
      </w:pPr>
      <w:r>
        <w:t>Claude Contributions</w:t>
      </w:r>
    </w:p>
    <w:p>
      <w:pPr>
        <w:pStyle w:val="ListBullet"/>
      </w:pPr>
      <w:r>
        <w:t>Conference intelligence emphasis</w:t>
      </w:r>
    </w:p>
    <w:p>
      <w:pPr>
        <w:pStyle w:val="ListBullet"/>
      </w:pPr>
      <w:r>
        <w:t>Supply chain vulnerability focus</w:t>
      </w:r>
    </w:p>
    <w:p>
      <w:pPr>
        <w:pStyle w:val="ListBullet"/>
      </w:pPr>
      <w:r>
        <w:t>China triangle analysis</w:t>
      </w:r>
    </w:p>
    <w:p>
      <w:pPr>
        <w:pStyle w:val="ListBullet"/>
      </w:pPr>
      <w:r>
        <w:t>Quantitative gap identification</w:t>
      </w:r>
    </w:p>
    <w:p>
      <w:pPr>
        <w:pStyle w:val="Heading2"/>
      </w:pPr>
      <w:r>
        <w:t>Synthesis Value-Add</w:t>
      </w:r>
    </w:p>
    <w:p>
      <w:pPr>
        <w:pStyle w:val="ListBullet"/>
      </w:pPr>
      <w:r>
        <w:t>Integrated risk indicators</w:t>
      </w:r>
    </w:p>
    <w:p>
      <w:pPr>
        <w:pStyle w:val="ListBullet"/>
      </w:pPr>
      <w:r>
        <w:t>Compliance mapping</w:t>
      </w:r>
    </w:p>
    <w:p>
      <w:pPr>
        <w:pStyle w:val="ListBullet"/>
      </w:pPr>
      <w:r>
        <w:t>Enhanced data gaps</w:t>
      </w:r>
    </w:p>
    <w:p>
      <w:pPr>
        <w:pStyle w:val="ListBullet"/>
      </w:pPr>
      <w:r>
        <w:t>Actionable recommendations</w:t>
      </w:r>
    </w:p>
    <w:p>
      <w:pPr>
        <w:pStyle w:val="ListBullet"/>
      </w:pPr>
    </w:p>
    <w:p>
      <w:pPr>
        <w:pStyle w:val="ListBullet"/>
      </w:pPr>
      <w:r>
        <w:t>Next Phase: Indicators &amp; Data Sources (Phase 2)*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