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2: Indicators &amp; Data Sources - Italy Technology Security Assessment</w:t>
      </w:r>
    </w:p>
    <w:p>
      <w:r/>
      <w:r>
        <w:rPr>
          <w:b/>
        </w:rPr>
        <w:t>Generated:</w:t>
      </w:r>
      <w:r>
        <w:t xml:space="preserve"> 2025-09-16  </w:t>
      </w:r>
    </w:p>
    <w:p>
      <w:r/>
      <w:r>
        <w:rPr>
          <w:b/>
        </w:rPr>
        <w:t>Sources:</w:t>
      </w:r>
      <w:r>
        <w:t xml:space="preserve"> ChatGPT Phase Documents + Claude Analysis  </w:t>
      </w:r>
    </w:p>
    <w:p>
      <w:r/>
      <w:r>
        <w:rPr>
          <w:b/>
        </w:rPr>
        <w:t>Classification:</w:t>
      </w:r>
      <w:r>
        <w:t xml:space="preserve"> OSINT Synthesis</w:t>
      </w:r>
    </w:p>
    <w:p>
      <w:pPr>
        <w:pStyle w:val="Heading1"/>
      </w:pPr>
      <w:r>
        <w:t>Executive Summary</w:t>
      </w:r>
    </w:p>
    <w:p>
      <w:r>
        <w:t>Phase 2 establishes the quantitative baseline for Italy's technology security assessment through comprehensive indicator mapping and data source identification. This synthesis reveals critical gaps between Italy's innovation capacity and NATO/EU benchmarks.</w:t>
      </w:r>
    </w:p>
    <w:p>
      <w:pPr>
        <w:pStyle w:val="Heading1"/>
      </w:pPr>
      <w:r>
        <w:t>Data Source Architecture</w:t>
      </w:r>
    </w:p>
    <w:p>
      <w:pPr>
        <w:pStyle w:val="Heading2"/>
      </w:pPr>
      <w:r>
        <w:t>Tier-1 Structured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Automation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Metrics</w:t>
            </w:r>
          </w:p>
        </w:tc>
      </w:tr>
      <w:tr>
        <w:tc>
          <w:tcPr>
            <w:tcW w:type="dxa" w:w="1728"/>
          </w:tcPr>
          <w:p>
            <w:r>
              <w:t>ISTAT</w:t>
            </w:r>
          </w:p>
        </w:tc>
        <w:tc>
          <w:tcPr>
            <w:tcW w:type="dxa" w:w="1728"/>
          </w:tcPr>
          <w:p>
            <w:r>
              <w:t>National Statistics</w:t>
            </w:r>
          </w:p>
        </w:tc>
        <w:tc>
          <w:tcPr>
            <w:tcW w:type="dxa" w:w="1728"/>
          </w:tcPr>
          <w:p>
            <w:r>
              <w:t>Partial (SDMX)</w:t>
            </w:r>
          </w:p>
        </w:tc>
        <w:tc>
          <w:tcPr>
            <w:tcW w:type="dxa" w:w="1728"/>
          </w:tcPr>
          <w:p>
            <w:r>
              <w:t>Comprehensive</w:t>
            </w:r>
          </w:p>
        </w:tc>
        <w:tc>
          <w:tcPr>
            <w:tcW w:type="dxa" w:w="1728"/>
          </w:tcPr>
          <w:p>
            <w:r>
              <w:t>GDP, R&amp;D, Demographics</w:t>
            </w:r>
          </w:p>
        </w:tc>
      </w:tr>
      <w:tr>
        <w:tc>
          <w:tcPr>
            <w:tcW w:type="dxa" w:w="1728"/>
          </w:tcPr>
          <w:p>
            <w:r>
              <w:t>Bank of Italy</w:t>
            </w:r>
          </w:p>
        </w:tc>
        <w:tc>
          <w:tcPr>
            <w:tcW w:type="dxa" w:w="1728"/>
          </w:tcPr>
          <w:p>
            <w:r>
              <w:t>Economic Data</w:t>
            </w:r>
          </w:p>
        </w:tc>
        <w:tc>
          <w:tcPr>
            <w:tcW w:type="dxa" w:w="1728"/>
          </w:tcPr>
          <w:p>
            <w:r>
              <w:t>Full API</w:t>
            </w:r>
          </w:p>
        </w:tc>
        <w:tc>
          <w:tcPr>
            <w:tcW w:type="dxa" w:w="1728"/>
          </w:tcPr>
          <w:p>
            <w:r>
              <w:t>Monthly updates</w:t>
            </w:r>
          </w:p>
        </w:tc>
        <w:tc>
          <w:tcPr>
            <w:tcW w:type="dxa" w:w="1728"/>
          </w:tcPr>
          <w:p>
            <w:r>
              <w:t>Investment flows, FDI</w:t>
            </w:r>
          </w:p>
        </w:tc>
      </w:tr>
      <w:tr>
        <w:tc>
          <w:tcPr>
            <w:tcW w:type="dxa" w:w="1728"/>
          </w:tcPr>
          <w:p>
            <w:r>
              <w:t>MISE</w:t>
            </w:r>
          </w:p>
        </w:tc>
        <w:tc>
          <w:tcPr>
            <w:tcW w:type="dxa" w:w="1728"/>
          </w:tcPr>
          <w:p>
            <w:r>
              <w:t>Industry Ministry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Quarterly</w:t>
            </w:r>
          </w:p>
        </w:tc>
        <w:tc>
          <w:tcPr>
            <w:tcW w:type="dxa" w:w="1728"/>
          </w:tcPr>
          <w:p>
            <w:r>
              <w:t>Industrial production</w:t>
            </w:r>
          </w:p>
        </w:tc>
      </w:tr>
      <w:tr>
        <w:tc>
          <w:tcPr>
            <w:tcW w:type="dxa" w:w="1728"/>
          </w:tcPr>
          <w:p>
            <w:r>
              <w:t>CrossRef/OpenAlex</w:t>
            </w:r>
          </w:p>
        </w:tc>
        <w:tc>
          <w:tcPr>
            <w:tcW w:type="dxa" w:w="1728"/>
          </w:tcPr>
          <w:p>
            <w:r>
              <w:t>Publications</w:t>
            </w:r>
          </w:p>
        </w:tc>
        <w:tc>
          <w:tcPr>
            <w:tcW w:type="dxa" w:w="1728"/>
          </w:tcPr>
          <w:p>
            <w:r>
              <w:t>Full (420GB)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Research output, collaboration</w:t>
            </w:r>
          </w:p>
        </w:tc>
      </w:tr>
      <w:tr>
        <w:tc>
          <w:tcPr>
            <w:tcW w:type="dxa" w:w="1728"/>
          </w:tcPr>
          <w:p>
            <w:r>
              <w:t>EPO</w:t>
            </w:r>
          </w:p>
        </w:tc>
        <w:tc>
          <w:tcPr>
            <w:tcW w:type="dxa" w:w="1728"/>
          </w:tcPr>
          <w:p>
            <w:r>
              <w:t>Patents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Registration req.</w:t>
            </w:r>
          </w:p>
        </w:tc>
        <w:tc>
          <w:tcPr>
            <w:tcW w:type="dxa" w:w="1728"/>
          </w:tcPr>
          <w:p>
            <w:r>
              <w:t>Innovation metrics</w:t>
            </w:r>
          </w:p>
        </w:tc>
      </w:tr>
    </w:tbl>
    <w:p>
      <w:pPr>
        <w:pStyle w:val="Heading2"/>
      </w:pPr>
      <w:r>
        <w:t>NATO-Specific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Automation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Intelligence Value</w:t>
            </w:r>
          </w:p>
        </w:tc>
      </w:tr>
      <w:tr>
        <w:tc>
          <w:tcPr>
            <w:tcW w:type="dxa" w:w="1728"/>
          </w:tcPr>
          <w:p>
            <w:r>
              <w:t>NATO STO</w:t>
            </w:r>
          </w:p>
        </w:tc>
        <w:tc>
          <w:tcPr>
            <w:tcW w:type="dxa" w:w="1728"/>
          </w:tcPr>
          <w:p>
            <w:r>
              <w:t>Brussels</w:t>
            </w:r>
          </w:p>
        </w:tc>
        <w:tc>
          <w:tcPr>
            <w:tcW w:type="dxa" w:w="1728"/>
          </w:tcPr>
          <w:p>
            <w:r>
              <w:t>Public abstracts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Technical capabilities</w:t>
            </w:r>
          </w:p>
        </w:tc>
      </w:tr>
      <w:tr>
        <w:tc>
          <w:tcPr>
            <w:tcW w:type="dxa" w:w="1728"/>
          </w:tcPr>
          <w:p>
            <w:r>
              <w:t>M&amp;S COE</w:t>
            </w:r>
          </w:p>
        </w:tc>
        <w:tc>
          <w:tcPr>
            <w:tcW w:type="dxa" w:w="1728"/>
          </w:tcPr>
          <w:p>
            <w:r>
              <w:t>Rome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Modeling/simulation</w:t>
            </w:r>
          </w:p>
        </w:tc>
      </w:tr>
      <w:tr>
        <w:tc>
          <w:tcPr>
            <w:tcW w:type="dxa" w:w="1728"/>
          </w:tcPr>
          <w:p>
            <w:r>
              <w:t>NATO Defense College</w:t>
            </w:r>
          </w:p>
        </w:tc>
        <w:tc>
          <w:tcPr>
            <w:tcW w:type="dxa" w:w="1728"/>
          </w:tcPr>
          <w:p>
            <w:r>
              <w:t>Rome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Strategic analysis</w:t>
            </w:r>
          </w:p>
        </w:tc>
      </w:tr>
      <w:tr>
        <w:tc>
          <w:tcPr>
            <w:tcW w:type="dxa" w:w="1728"/>
          </w:tcPr>
          <w:p>
            <w:r>
              <w:t>DIANA Portal</w:t>
            </w:r>
          </w:p>
        </w:tc>
        <w:tc>
          <w:tcPr>
            <w:tcW w:type="dxa" w:w="1728"/>
          </w:tcPr>
          <w:p>
            <w:r>
              <w:t>Multi-site</w:t>
            </w:r>
          </w:p>
        </w:tc>
        <w:tc>
          <w:tcPr>
            <w:tcW w:type="dxa" w:w="1728"/>
          </w:tcPr>
          <w:p>
            <w:r>
              <w:t>Restricted</w:t>
            </w:r>
          </w:p>
        </w:tc>
        <w:tc>
          <w:tcPr>
            <w:tcW w:type="dxa" w:w="1728"/>
          </w:tcPr>
          <w:p>
            <w:r>
              <w:t>Emerging</w:t>
            </w:r>
          </w:p>
        </w:tc>
        <w:tc>
          <w:tcPr>
            <w:tcW w:type="dxa" w:w="1728"/>
          </w:tcPr>
          <w:p>
            <w:r>
              <w:t>Innovation tracking</w:t>
            </w:r>
          </w:p>
        </w:tc>
      </w:tr>
    </w:tbl>
    <w:p>
      <w:pPr>
        <w:pStyle w:val="Heading2"/>
      </w:pPr>
      <w:r>
        <w:t>ChatGPT Enhancement: Conference &amp; TED Sources</w:t>
      </w:r>
    </w:p>
    <w:p>
      <w:r>
        <w:t xml:space="preserve">- </w:t>
      </w:r>
      <w:r>
        <w:rPr>
          <w:b/>
        </w:rPr>
        <w:t>TED Database:</w:t>
      </w:r>
      <w:r>
        <w:t xml:space="preserve"> 90-day rolling procurement intelligence</w:t>
      </w:r>
    </w:p>
    <w:p>
      <w:r>
        <w:t xml:space="preserve">- </w:t>
      </w:r>
      <w:r>
        <w:rPr>
          <w:b/>
        </w:rPr>
        <w:t>Conference Archives:</w:t>
      </w:r>
      <w:r>
        <w:t xml:space="preserve"> Technology disclosure tracking</w:t>
      </w:r>
    </w:p>
    <w:p>
      <w:r>
        <w:t xml:space="preserve">- </w:t>
      </w:r>
      <w:r>
        <w:rPr>
          <w:b/>
        </w:rPr>
        <w:t>Standards Bodies:</w:t>
      </w:r>
      <w:r>
        <w:t xml:space="preserve"> ISO/IEC participation metrics</w:t>
      </w:r>
    </w:p>
    <w:p>
      <w:r>
        <w:t xml:space="preserve">- </w:t>
      </w:r>
      <w:r>
        <w:rPr>
          <w:b/>
        </w:rPr>
        <w:t>GitHub/GitLab:</w:t>
      </w:r>
      <w:r>
        <w:t xml:space="preserve"> Open-source contribution patterns</w:t>
      </w:r>
    </w:p>
    <w:p>
      <w:pPr>
        <w:pStyle w:val="Heading1"/>
      </w:pPr>
      <w:r>
        <w:t>Innovation Capacity Indicators</w:t>
      </w:r>
    </w:p>
    <w:p>
      <w:pPr>
        <w:pStyle w:val="Heading2"/>
      </w:pPr>
      <w:r>
        <w:t>R&amp;D Investment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Italy 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EU Average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Trend</w:t>
            </w:r>
          </w:p>
        </w:tc>
      </w:tr>
      <w:tr>
        <w:tc>
          <w:tcPr>
            <w:tcW w:type="dxa" w:w="1728"/>
          </w:tcPr>
          <w:p>
            <w:r>
              <w:t>GERD/GDP</w:t>
            </w:r>
          </w:p>
        </w:tc>
        <w:tc>
          <w:tcPr>
            <w:tcW w:type="dxa" w:w="1728"/>
          </w:tcPr>
          <w:p>
            <w:r>
              <w:t>1.45% (2023)</w:t>
            </w:r>
          </w:p>
        </w:tc>
        <w:tc>
          <w:tcPr>
            <w:tcW w:type="dxa" w:w="1728"/>
          </w:tcPr>
          <w:p>
            <w:r>
              <w:t>2.32%</w:t>
            </w:r>
          </w:p>
        </w:tc>
        <w:tc>
          <w:tcPr>
            <w:tcW w:type="dxa" w:w="1728"/>
          </w:tcPr>
          <w:p>
            <w:r>
              <w:t>-0.87%</w:t>
            </w:r>
          </w:p>
        </w:tc>
        <w:tc>
          <w:tcPr>
            <w:tcW w:type="dxa" w:w="1728"/>
          </w:tcPr>
          <w:p>
            <w:r>
              <w:t>Stagnant</w:t>
            </w:r>
          </w:p>
        </w:tc>
      </w:tr>
      <w:tr>
        <w:tc>
          <w:tcPr>
            <w:tcW w:type="dxa" w:w="1728"/>
          </w:tcPr>
          <w:p>
            <w:r>
              <w:t>BERD/GDP</w:t>
            </w:r>
          </w:p>
        </w:tc>
        <w:tc>
          <w:tcPr>
            <w:tcW w:type="dxa" w:w="1728"/>
          </w:tcPr>
          <w:p>
            <w:r>
              <w:t>0.93% (2023)</w:t>
            </w:r>
          </w:p>
        </w:tc>
        <w:tc>
          <w:tcPr>
            <w:tcW w:type="dxa" w:w="1728"/>
          </w:tcPr>
          <w:p>
            <w:r>
              <w:t>1.53%</w:t>
            </w:r>
          </w:p>
        </w:tc>
        <w:tc>
          <w:tcPr>
            <w:tcW w:type="dxa" w:w="1728"/>
          </w:tcPr>
          <w:p>
            <w:r>
              <w:t>-0.60%</w:t>
            </w:r>
          </w:p>
        </w:tc>
        <w:tc>
          <w:tcPr>
            <w:tcW w:type="dxa" w:w="1728"/>
          </w:tcPr>
          <w:p>
            <w:r>
              <w:t>Slight decline</w:t>
            </w:r>
          </w:p>
        </w:tc>
      </w:tr>
      <w:tr>
        <w:tc>
          <w:tcPr>
            <w:tcW w:type="dxa" w:w="1728"/>
          </w:tcPr>
          <w:p>
            <w:r>
              <w:t>GOVERD/GDP</w:t>
            </w:r>
          </w:p>
        </w:tc>
        <w:tc>
          <w:tcPr>
            <w:tcW w:type="dxa" w:w="1728"/>
          </w:tcPr>
          <w:p>
            <w:r>
              <w:t>0.35% (2023)</w:t>
            </w:r>
          </w:p>
        </w:tc>
        <w:tc>
          <w:tcPr>
            <w:tcW w:type="dxa" w:w="1728"/>
          </w:tcPr>
          <w:p>
            <w:r>
              <w:t>0.42%</w:t>
            </w:r>
          </w:p>
        </w:tc>
        <w:tc>
          <w:tcPr>
            <w:tcW w:type="dxa" w:w="1728"/>
          </w:tcPr>
          <w:p>
            <w:r>
              <w:t>-0.07%</w:t>
            </w:r>
          </w:p>
        </w:tc>
        <w:tc>
          <w:tcPr>
            <w:tcW w:type="dxa" w:w="1728"/>
          </w:tcPr>
          <w:p>
            <w:r>
              <w:t>Stable</w:t>
            </w:r>
          </w:p>
        </w:tc>
      </w:tr>
      <w:tr>
        <w:tc>
          <w:tcPr>
            <w:tcW w:type="dxa" w:w="1728"/>
          </w:tcPr>
          <w:p>
            <w:r>
              <w:t>HERD/GDP</w:t>
            </w:r>
          </w:p>
        </w:tc>
        <w:tc>
          <w:tcPr>
            <w:tcW w:type="dxa" w:w="1728"/>
          </w:tcPr>
          <w:p>
            <w:r>
              <w:t>0.17% (2023)</w:t>
            </w:r>
          </w:p>
        </w:tc>
        <w:tc>
          <w:tcPr>
            <w:tcW w:type="dxa" w:w="1728"/>
          </w:tcPr>
          <w:p>
            <w:r>
              <w:t>0.37%</w:t>
            </w:r>
          </w:p>
        </w:tc>
        <w:tc>
          <w:tcPr>
            <w:tcW w:type="dxa" w:w="1728"/>
          </w:tcPr>
          <w:p>
            <w:r>
              <w:t>-0.20%</w:t>
            </w:r>
          </w:p>
        </w:tc>
        <w:tc>
          <w:tcPr>
            <w:tcW w:type="dxa" w:w="1728"/>
          </w:tcPr>
          <w:p>
            <w:r>
              <w:t>Declining</w:t>
            </w:r>
          </w:p>
        </w:tc>
      </w:tr>
    </w:tbl>
    <w:p>
      <w:r/>
      <w:r>
        <w:rPr>
          <w:b/>
        </w:rPr>
        <w:t>Analysis:</w:t>
      </w:r>
      <w:r>
        <w:t xml:space="preserve"> Italy significantly underinvests in R&amp;D across all sectors, with business R&amp;D particularly weak.</w:t>
      </w:r>
    </w:p>
    <w:p>
      <w:pPr>
        <w:pStyle w:val="Heading2"/>
      </w:pPr>
      <w:r>
        <w:t>Human Capital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Italy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EU Average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Global Rank</w:t>
            </w:r>
          </w:p>
        </w:tc>
      </w:tr>
      <w:tr>
        <w:tc>
          <w:tcPr>
            <w:tcW w:type="dxa" w:w="2160"/>
          </w:tcPr>
          <w:p>
            <w:r>
              <w:t>Researchers/million</w:t>
            </w:r>
          </w:p>
        </w:tc>
        <w:tc>
          <w:tcPr>
            <w:tcW w:type="dxa" w:w="2160"/>
          </w:tcPr>
          <w:p>
            <w:r>
              <w:t>2,398</w:t>
            </w:r>
          </w:p>
        </w:tc>
        <w:tc>
          <w:tcPr>
            <w:tcW w:type="dxa" w:w="2160"/>
          </w:tcPr>
          <w:p>
            <w:r>
              <w:t>4,231</w:t>
            </w:r>
          </w:p>
        </w:tc>
        <w:tc>
          <w:tcPr>
            <w:tcW w:type="dxa" w:w="2160"/>
          </w:tcPr>
          <w:p>
            <w:r>
              <w:t>28th</w:t>
            </w:r>
          </w:p>
        </w:tc>
      </w:tr>
      <w:tr>
        <w:tc>
          <w:tcPr>
            <w:tcW w:type="dxa" w:w="2160"/>
          </w:tcPr>
          <w:p>
            <w:r>
              <w:t>STEM Graduates</w:t>
            </w:r>
          </w:p>
        </w:tc>
        <w:tc>
          <w:tcPr>
            <w:tcW w:type="dxa" w:w="2160"/>
          </w:tcPr>
          <w:p>
            <w:r>
              <w:t>14.8%</w:t>
            </w:r>
          </w:p>
        </w:tc>
        <w:tc>
          <w:tcPr>
            <w:tcW w:type="dxa" w:w="2160"/>
          </w:tcPr>
          <w:p>
            <w:r>
              <w:t>21.6%</w:t>
            </w:r>
          </w:p>
        </w:tc>
        <w:tc>
          <w:tcPr>
            <w:tcW w:type="dxa" w:w="2160"/>
          </w:tcPr>
          <w:p>
            <w:r>
              <w:t>24th EU</w:t>
            </w:r>
          </w:p>
        </w:tc>
      </w:tr>
      <w:tr>
        <w:tc>
          <w:tcPr>
            <w:tcW w:type="dxa" w:w="2160"/>
          </w:tcPr>
          <w:p>
            <w:r>
              <w:t>PhD Production</w:t>
            </w:r>
          </w:p>
        </w:tc>
        <w:tc>
          <w:tcPr>
            <w:tcW w:type="dxa" w:w="2160"/>
          </w:tcPr>
          <w:p>
            <w:r>
              <w:t>8,200/year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Declining</w:t>
            </w:r>
          </w:p>
        </w:tc>
      </w:tr>
      <w:tr>
        <w:tc>
          <w:tcPr>
            <w:tcW w:type="dxa" w:w="2160"/>
          </w:tcPr>
          <w:p>
            <w:r>
              <w:t>Brain Drain Index</w:t>
            </w:r>
          </w:p>
        </w:tc>
        <w:tc>
          <w:tcPr>
            <w:tcW w:type="dxa" w:w="2160"/>
          </w:tcPr>
          <w:p>
            <w:r>
              <w:t>-3.2</w:t>
            </w:r>
          </w:p>
        </w:tc>
        <w:tc>
          <w:tcPr>
            <w:tcW w:type="dxa" w:w="2160"/>
          </w:tcPr>
          <w:p>
            <w:r>
              <w:t>-0.8</w:t>
            </w:r>
          </w:p>
        </w:tc>
        <w:tc>
          <w:tcPr>
            <w:tcW w:type="dxa" w:w="2160"/>
          </w:tcPr>
          <w:p>
            <w:r>
              <w:t>High outflow</w:t>
            </w:r>
          </w:p>
        </w:tc>
      </w:tr>
    </w:tbl>
    <w:p>
      <w:r/>
      <w:r>
        <w:rPr>
          <w:b/>
        </w:rPr>
        <w:t>Critical Gap:</w:t>
      </w:r>
      <w:r>
        <w:t xml:space="preserve"> Talent retention crisis with top researchers emigrating.</w:t>
      </w:r>
    </w:p>
    <w:p>
      <w:pPr>
        <w:pStyle w:val="Heading2"/>
      </w:pPr>
      <w:r>
        <w:t>Innovation Output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2023 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YoY Change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EU Rank</w:t>
            </w:r>
          </w:p>
        </w:tc>
      </w:tr>
      <w:tr>
        <w:tc>
          <w:tcPr>
            <w:tcW w:type="dxa" w:w="2160"/>
          </w:tcPr>
          <w:p>
            <w:r>
              <w:t>EPO Patents</w:t>
            </w:r>
          </w:p>
        </w:tc>
        <w:tc>
          <w:tcPr>
            <w:tcW w:type="dxa" w:w="2160"/>
          </w:tcPr>
          <w:p>
            <w:r>
              <w:t>4,834</w:t>
            </w:r>
          </w:p>
        </w:tc>
        <w:tc>
          <w:tcPr>
            <w:tcW w:type="dxa" w:w="2160"/>
          </w:tcPr>
          <w:p>
            <w:r>
              <w:t>-3.2%</w:t>
            </w:r>
          </w:p>
        </w:tc>
        <w:tc>
          <w:tcPr>
            <w:tcW w:type="dxa" w:w="2160"/>
          </w:tcPr>
          <w:p>
            <w:r>
              <w:t>4th</w:t>
            </w:r>
          </w:p>
        </w:tc>
      </w:tr>
      <w:tr>
        <w:tc>
          <w:tcPr>
            <w:tcW w:type="dxa" w:w="2160"/>
          </w:tcPr>
          <w:p>
            <w:r>
              <w:t>USPTO Patents</w:t>
            </w:r>
          </w:p>
        </w:tc>
        <w:tc>
          <w:tcPr>
            <w:tcW w:type="dxa" w:w="2160"/>
          </w:tcPr>
          <w:p>
            <w:r>
              <w:t>1,923</w:t>
            </w:r>
          </w:p>
        </w:tc>
        <w:tc>
          <w:tcPr>
            <w:tcW w:type="dxa" w:w="2160"/>
          </w:tcPr>
          <w:p>
            <w:r>
              <w:t>+1.4%</w:t>
            </w:r>
          </w:p>
        </w:tc>
        <w:tc>
          <w:tcPr>
            <w:tcW w:type="dxa" w:w="2160"/>
          </w:tcPr>
          <w:p>
            <w:r>
              <w:t>12th globally</w:t>
            </w:r>
          </w:p>
        </w:tc>
      </w:tr>
      <w:tr>
        <w:tc>
          <w:tcPr>
            <w:tcW w:type="dxa" w:w="2160"/>
          </w:tcPr>
          <w:p>
            <w:r>
              <w:t>Scientific Papers</w:t>
            </w:r>
          </w:p>
        </w:tc>
        <w:tc>
          <w:tcPr>
            <w:tcW w:type="dxa" w:w="2160"/>
          </w:tcPr>
          <w:p>
            <w:r>
              <w:t>98,234</w:t>
            </w:r>
          </w:p>
        </w:tc>
        <w:tc>
          <w:tcPr>
            <w:tcW w:type="dxa" w:w="2160"/>
          </w:tcPr>
          <w:p>
            <w:r>
              <w:t>+2.1%</w:t>
            </w:r>
          </w:p>
        </w:tc>
        <w:tc>
          <w:tcPr>
            <w:tcW w:type="dxa" w:w="2160"/>
          </w:tcPr>
          <w:p>
            <w:r>
              <w:t>8th globally</w:t>
            </w:r>
          </w:p>
        </w:tc>
      </w:tr>
      <w:tr>
        <w:tc>
          <w:tcPr>
            <w:tcW w:type="dxa" w:w="2160"/>
          </w:tcPr>
          <w:p>
            <w:r>
              <w:t>High-Impact Papers</w:t>
            </w:r>
          </w:p>
        </w:tc>
        <w:tc>
          <w:tcPr>
            <w:tcW w:type="dxa" w:w="2160"/>
          </w:tcPr>
          <w:p>
            <w:r>
              <w:t>12.3%</w:t>
            </w:r>
          </w:p>
        </w:tc>
        <w:tc>
          <w:tcPr>
            <w:tcW w:type="dxa" w:w="2160"/>
          </w:tcPr>
          <w:p>
            <w:r>
              <w:t>-0.5%</w:t>
            </w:r>
          </w:p>
        </w:tc>
        <w:tc>
          <w:tcPr>
            <w:tcW w:type="dxa" w:w="2160"/>
          </w:tcPr>
          <w:p>
            <w:r>
              <w:t>Below average</w:t>
            </w:r>
          </w:p>
        </w:tc>
      </w:tr>
      <w:tr>
        <w:tc>
          <w:tcPr>
            <w:tcW w:type="dxa" w:w="2160"/>
          </w:tcPr>
          <w:p>
            <w:r>
              <w:t>University-Industry</w:t>
            </w:r>
          </w:p>
        </w:tc>
        <w:tc>
          <w:tcPr>
            <w:tcW w:type="dxa" w:w="2160"/>
          </w:tcPr>
          <w:p>
            <w:r>
              <w:t>4.2%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  <w:tc>
          <w:tcPr>
            <w:tcW w:type="dxa" w:w="2160"/>
          </w:tcPr>
          <w:p>
            <w:r>
              <w:t>Low collaboration</w:t>
            </w:r>
          </w:p>
        </w:tc>
      </w:tr>
    </w:tbl>
    <w:p>
      <w:pPr>
        <w:pStyle w:val="Heading1"/>
      </w:pPr>
      <w:r>
        <w:t>NATO Compliance Metrics</w:t>
      </w:r>
    </w:p>
    <w:p>
      <w:pPr>
        <w:pStyle w:val="Heading2"/>
      </w:pPr>
      <w:r>
        <w:t>Defense Investment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NATO Target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1728"/>
          </w:tcPr>
          <w:p>
            <w:r>
              <w:t>Defense/GDP</w:t>
            </w:r>
          </w:p>
        </w:tc>
        <w:tc>
          <w:tcPr>
            <w:tcW w:type="dxa" w:w="1728"/>
          </w:tcPr>
          <w:p>
            <w:r>
              <w:t>1.46%</w:t>
            </w:r>
          </w:p>
        </w:tc>
        <w:tc>
          <w:tcPr>
            <w:tcW w:type="dxa" w:w="1728"/>
          </w:tcPr>
          <w:p>
            <w:r>
              <w:t>2.00%</w:t>
            </w:r>
          </w:p>
        </w:tc>
        <w:tc>
          <w:tcPr>
            <w:tcW w:type="dxa" w:w="1728"/>
          </w:tcPr>
          <w:p>
            <w:r>
              <w:t>❌ Below</w:t>
            </w:r>
          </w:p>
        </w:tc>
        <w:tc>
          <w:tcPr>
            <w:tcW w:type="dxa" w:w="1728"/>
          </w:tcPr>
          <w:p>
            <w:r>
              <w:t>2024 deadline missed</w:t>
            </w:r>
          </w:p>
        </w:tc>
      </w:tr>
      <w:tr>
        <w:tc>
          <w:tcPr>
            <w:tcW w:type="dxa" w:w="1728"/>
          </w:tcPr>
          <w:p>
            <w:r>
              <w:t>Equipment/Defense</w:t>
            </w:r>
          </w:p>
        </w:tc>
        <w:tc>
          <w:tcPr>
            <w:tcW w:type="dxa" w:w="1728"/>
          </w:tcPr>
          <w:p>
            <w:r>
              <w:t>24.3%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  <w:tc>
          <w:tcPr>
            <w:tcW w:type="dxa" w:w="1728"/>
          </w:tcPr>
          <w:p>
            <w:r>
              <w:t>✅ Exceeds</w:t>
            </w:r>
          </w:p>
        </w:tc>
        <w:tc>
          <w:tcPr>
            <w:tcW w:type="dxa" w:w="1728"/>
          </w:tcPr>
          <w:p>
            <w:r>
              <w:t>Compliant</w:t>
            </w:r>
          </w:p>
        </w:tc>
      </w:tr>
      <w:tr>
        <w:tc>
          <w:tcPr>
            <w:tcW w:type="dxa" w:w="1728"/>
          </w:tcPr>
          <w:p>
            <w:r>
              <w:t>R&amp;D/Defense</w:t>
            </w:r>
          </w:p>
        </w:tc>
        <w:tc>
          <w:tcPr>
            <w:tcW w:type="dxa" w:w="1728"/>
          </w:tcPr>
          <w:p>
            <w:r>
              <w:t>1.2%</w:t>
            </w:r>
          </w:p>
        </w:tc>
        <w:tc>
          <w:tcPr>
            <w:tcW w:type="dxa" w:w="1728"/>
          </w:tcPr>
          <w:p>
            <w:r>
              <w:t>2.0%</w:t>
            </w:r>
          </w:p>
        </w:tc>
        <w:tc>
          <w:tcPr>
            <w:tcW w:type="dxa" w:w="1728"/>
          </w:tcPr>
          <w:p>
            <w:r>
              <w:t>❌ Below</w:t>
            </w:r>
          </w:p>
        </w:tc>
        <w:tc>
          <w:tcPr>
            <w:tcW w:type="dxa" w:w="1728"/>
          </w:tcPr>
          <w:p>
            <w:r>
              <w:t>No improvement</w:t>
            </w:r>
          </w:p>
        </w:tc>
      </w:tr>
      <w:tr>
        <w:tc>
          <w:tcPr>
            <w:tcW w:type="dxa" w:w="1728"/>
          </w:tcPr>
          <w:p>
            <w:r>
              <w:t>Cyber/Defense</w:t>
            </w:r>
          </w:p>
        </w:tc>
        <w:tc>
          <w:tcPr>
            <w:tcW w:type="dxa" w:w="1728"/>
          </w:tcPr>
          <w:p>
            <w:r>
              <w:t>0.8%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Growing</w:t>
            </w:r>
          </w:p>
        </w:tc>
        <w:tc>
          <w:tcPr>
            <w:tcW w:type="dxa" w:w="1728"/>
          </w:tcPr>
          <w:p>
            <w:r>
              <w:t>+15% YoY</w:t>
            </w:r>
          </w:p>
        </w:tc>
      </w:tr>
    </w:tbl>
    <w:p>
      <w:pPr>
        <w:pStyle w:val="Heading2"/>
      </w:pPr>
      <w:r>
        <w:t>Interoperability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Issues Identified</w:t>
            </w:r>
          </w:p>
        </w:tc>
      </w:tr>
      <w:tr>
        <w:tc>
          <w:tcPr>
            <w:tcW w:type="dxa" w:w="2880"/>
          </w:tcPr>
          <w:p>
            <w:r>
              <w:t>STANAG Compliance</w:t>
            </w:r>
          </w:p>
        </w:tc>
        <w:tc>
          <w:tcPr>
            <w:tcW w:type="dxa" w:w="2880"/>
          </w:tcPr>
          <w:p>
            <w:r>
              <w:t>56% (67/120)</w:t>
            </w:r>
          </w:p>
        </w:tc>
        <w:tc>
          <w:tcPr>
            <w:tcW w:type="dxa" w:w="2880"/>
          </w:tcPr>
          <w:p>
            <w:r>
              <w:t>Documentation gaps</w:t>
            </w:r>
          </w:p>
        </w:tc>
      </w:tr>
      <w:tr>
        <w:tc>
          <w:tcPr>
            <w:tcW w:type="dxa" w:w="2880"/>
          </w:tcPr>
          <w:p>
            <w:r>
              <w:t>Exercise Participation</w:t>
            </w:r>
          </w:p>
        </w:tc>
        <w:tc>
          <w:tcPr>
            <w:tcW w:type="dxa" w:w="2880"/>
          </w:tcPr>
          <w:p>
            <w:r>
              <w:t>8/year</w:t>
            </w:r>
          </w:p>
        </w:tc>
        <w:tc>
          <w:tcPr>
            <w:tcW w:type="dxa" w:w="2880"/>
          </w:tcPr>
          <w:p>
            <w:r>
              <w:t>Below NATO average</w:t>
            </w:r>
          </w:p>
        </w:tc>
      </w:tr>
      <w:tr>
        <w:tc>
          <w:tcPr>
            <w:tcW w:type="dxa" w:w="2880"/>
          </w:tcPr>
          <w:p>
            <w:r>
              <w:t>Joint Procurement</w:t>
            </w:r>
          </w:p>
        </w:tc>
        <w:tc>
          <w:tcPr>
            <w:tcW w:type="dxa" w:w="2880"/>
          </w:tcPr>
          <w:p>
            <w:r>
              <w:t>23%</w:t>
            </w:r>
          </w:p>
        </w:tc>
        <w:tc>
          <w:tcPr>
            <w:tcW w:type="dxa" w:w="2880"/>
          </w:tcPr>
          <w:p>
            <w:r>
              <w:t>Limited integration</w:t>
            </w:r>
          </w:p>
        </w:tc>
      </w:tr>
      <w:tr>
        <w:tc>
          <w:tcPr>
            <w:tcW w:type="dxa" w:w="2880"/>
          </w:tcPr>
          <w:p>
            <w:r>
              <w:t>C4ISR Integration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Legacy systems</w:t>
            </w:r>
          </w:p>
        </w:tc>
      </w:tr>
    </w:tbl>
    <w:p>
      <w:pPr>
        <w:pStyle w:val="Heading2"/>
      </w:pPr>
      <w:r>
        <w:t>NATO Innovation Ecosystem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Italy Participation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Assessment</w:t>
            </w:r>
          </w:p>
        </w:tc>
      </w:tr>
      <w:tr>
        <w:tc>
          <w:tcPr>
            <w:tcW w:type="dxa" w:w="2880"/>
          </w:tcPr>
          <w:p>
            <w:r>
              <w:t>DIANA</w:t>
            </w:r>
          </w:p>
        </w:tc>
        <w:tc>
          <w:tcPr>
            <w:tcW w:type="dxa" w:w="2880"/>
          </w:tcPr>
          <w:p>
            <w:r>
              <w:t>Turin accelerator + 3 companies</w:t>
            </w:r>
          </w:p>
        </w:tc>
        <w:tc>
          <w:tcPr>
            <w:tcW w:type="dxa" w:w="2880"/>
          </w:tcPr>
          <w:p>
            <w:r>
              <w:t>Medium potential</w:t>
            </w:r>
          </w:p>
        </w:tc>
      </w:tr>
      <w:tr>
        <w:tc>
          <w:tcPr>
            <w:tcW w:type="dxa" w:w="2880"/>
          </w:tcPr>
          <w:p>
            <w:r>
              <w:t>NIF</w:t>
            </w:r>
          </w:p>
        </w:tc>
        <w:tc>
          <w:tcPr>
            <w:tcW w:type="dxa" w:w="2880"/>
          </w:tcPr>
          <w:p>
            <w:r>
              <w:t>Committed (amount undisclosed)</w:t>
            </w:r>
          </w:p>
        </w:tc>
        <w:tc>
          <w:tcPr>
            <w:tcW w:type="dxa" w:w="2880"/>
          </w:tcPr>
          <w:p>
            <w:r>
              <w:t>Unknown leverage</w:t>
            </w:r>
          </w:p>
        </w:tc>
      </w:tr>
      <w:tr>
        <w:tc>
          <w:tcPr>
            <w:tcW w:type="dxa" w:w="2880"/>
          </w:tcPr>
          <w:p>
            <w:r>
              <w:t>NITECH</w:t>
            </w:r>
          </w:p>
        </w:tc>
        <w:tc>
          <w:tcPr>
            <w:tcW w:type="dxa" w:w="2880"/>
          </w:tcPr>
          <w:p>
            <w:r>
              <w:t>Observer status</w:t>
            </w:r>
          </w:p>
        </w:tc>
        <w:tc>
          <w:tcPr>
            <w:tcW w:type="dxa" w:w="2880"/>
          </w:tcPr>
          <w:p>
            <w:r>
              <w:t>Limited engagement</w:t>
            </w:r>
          </w:p>
        </w:tc>
      </w:tr>
      <w:tr>
        <w:tc>
          <w:tcPr>
            <w:tcW w:type="dxa" w:w="2880"/>
          </w:tcPr>
          <w:p>
            <w:r>
              <w:t>COE Hosting</w:t>
            </w:r>
          </w:p>
        </w:tc>
        <w:tc>
          <w:tcPr>
            <w:tcW w:type="dxa" w:w="2880"/>
          </w:tcPr>
          <w:p>
            <w:r>
              <w:t>2 centers (Rome, Vicenza)</w:t>
            </w:r>
          </w:p>
        </w:tc>
        <w:tc>
          <w:tcPr>
            <w:tcW w:type="dxa" w:w="2880"/>
          </w:tcPr>
          <w:p>
            <w:r>
              <w:t>Regional influence</w:t>
            </w:r>
          </w:p>
        </w:tc>
      </w:tr>
    </w:tbl>
    <w:p>
      <w:pPr>
        <w:pStyle w:val="Heading1"/>
      </w:pPr>
      <w:r>
        <w:t>Technology Adoption Indicators</w:t>
      </w:r>
    </w:p>
    <w:p>
      <w:pPr>
        <w:pStyle w:val="Heading2"/>
      </w:pPr>
      <w:r>
        <w:t>Digital Transformation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Italy Adoption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EU Average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Readiness Level</w:t>
            </w:r>
          </w:p>
        </w:tc>
      </w:tr>
      <w:tr>
        <w:tc>
          <w:tcPr>
            <w:tcW w:type="dxa" w:w="2160"/>
          </w:tcPr>
          <w:p>
            <w:r>
              <w:t>AI Deployment</w:t>
            </w:r>
          </w:p>
        </w:tc>
        <w:tc>
          <w:tcPr>
            <w:tcW w:type="dxa" w:w="2160"/>
          </w:tcPr>
          <w:p>
            <w:r>
              <w:t>8% enterprises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Cloud (Enterprise)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41%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  <w:tr>
        <w:tc>
          <w:tcPr>
            <w:tcW w:type="dxa" w:w="2160"/>
          </w:tcPr>
          <w:p>
            <w:r>
              <w:t>Cloud (Government)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52%</w:t>
            </w:r>
          </w:p>
        </w:tc>
        <w:tc>
          <w:tcPr>
            <w:tcW w:type="dxa" w:w="2160"/>
          </w:tcPr>
          <w:p>
            <w:r>
              <w:t>Below average</w:t>
            </w:r>
          </w:p>
        </w:tc>
      </w:tr>
      <w:tr>
        <w:tc>
          <w:tcPr>
            <w:tcW w:type="dxa" w:w="2160"/>
          </w:tcPr>
          <w:p>
            <w:r>
              <w:t>IoT Implementation</w:t>
            </w:r>
          </w:p>
        </w:tc>
        <w:tc>
          <w:tcPr>
            <w:tcW w:type="dxa" w:w="2160"/>
          </w:tcPr>
          <w:p>
            <w:r>
              <w:t>32%</w:t>
            </w:r>
          </w:p>
        </w:tc>
        <w:tc>
          <w:tcPr>
            <w:tcW w:type="dxa" w:w="2160"/>
          </w:tcPr>
          <w:p>
            <w:r>
              <w:t>29%</w:t>
            </w:r>
          </w:p>
        </w:tc>
        <w:tc>
          <w:tcPr>
            <w:tcW w:type="dxa" w:w="2160"/>
          </w:tcPr>
          <w:p>
            <w:r>
              <w:t>Slightly above</w:t>
            </w:r>
          </w:p>
        </w:tc>
      </w:tr>
      <w:tr>
        <w:tc>
          <w:tcPr>
            <w:tcW w:type="dxa" w:w="2160"/>
          </w:tcPr>
          <w:p>
            <w:r>
              <w:t>Big Data Analytics</w:t>
            </w:r>
          </w:p>
        </w:tc>
        <w:tc>
          <w:tcPr>
            <w:tcW w:type="dxa" w:w="2160"/>
          </w:tcPr>
          <w:p>
            <w:r>
              <w:t>9%</w:t>
            </w:r>
          </w:p>
        </w:tc>
        <w:tc>
          <w:tcPr>
            <w:tcW w:type="dxa" w:w="2160"/>
          </w:tcPr>
          <w:p>
            <w:r>
              <w:t>14%</w:t>
            </w:r>
          </w:p>
        </w:tc>
        <w:tc>
          <w:tcPr>
            <w:tcW w:type="dxa" w:w="2160"/>
          </w:tcPr>
          <w:p>
            <w:r>
              <w:t>Below average</w:t>
            </w:r>
          </w:p>
        </w:tc>
      </w:tr>
    </w:tbl>
    <w:p>
      <w:pPr>
        <w:pStyle w:val="Heading2"/>
      </w:pPr>
      <w:r>
        <w:t>Emerging Technology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Research Groups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Startups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Investment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Maturity</w:t>
            </w:r>
          </w:p>
        </w:tc>
      </w:tr>
      <w:tr>
        <w:tc>
          <w:tcPr>
            <w:tcW w:type="dxa" w:w="1728"/>
          </w:tcPr>
          <w:p>
            <w:r>
              <w:t>Quantum Computing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€45M</w:t>
            </w:r>
          </w:p>
        </w:tc>
        <w:tc>
          <w:tcPr>
            <w:tcW w:type="dxa" w:w="1728"/>
          </w:tcPr>
          <w:p>
            <w:r>
              <w:t>Early stage</w:t>
            </w:r>
          </w:p>
        </w:tc>
      </w:tr>
      <w:tr>
        <w:tc>
          <w:tcPr>
            <w:tcW w:type="dxa" w:w="1728"/>
          </w:tcPr>
          <w:p>
            <w:r>
              <w:t>6G Development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€12M</w:t>
            </w:r>
          </w:p>
        </w:tc>
        <w:tc>
          <w:tcPr>
            <w:tcW w:type="dxa" w:w="1728"/>
          </w:tcPr>
          <w:p>
            <w:r>
              <w:t>Research phase</w:t>
            </w:r>
          </w:p>
        </w:tc>
      </w:tr>
      <w:tr>
        <w:tc>
          <w:tcPr>
            <w:tcW w:type="dxa" w:w="1728"/>
          </w:tcPr>
          <w:p>
            <w:r>
              <w:t>Advanced Materials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€67M</w:t>
            </w:r>
          </w:p>
        </w:tc>
        <w:tc>
          <w:tcPr>
            <w:tcW w:type="dxa" w:w="1728"/>
          </w:tcPr>
          <w:p>
            <w:r>
              <w:t>Developing</w:t>
            </w:r>
          </w:p>
        </w:tc>
      </w:tr>
      <w:tr>
        <w:tc>
          <w:tcPr>
            <w:tcW w:type="dxa" w:w="1728"/>
          </w:tcPr>
          <w:p>
            <w:r>
              <w:t>Synthetic Biology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€23M</w:t>
            </w:r>
          </w:p>
        </w:tc>
        <w:tc>
          <w:tcPr>
            <w:tcW w:type="dxa" w:w="1728"/>
          </w:tcPr>
          <w:p>
            <w:r>
              <w:t>Nascent</w:t>
            </w:r>
          </w:p>
        </w:tc>
      </w:tr>
    </w:tbl>
    <w:p>
      <w:pPr>
        <w:pStyle w:val="Heading2"/>
      </w:pPr>
      <w:r>
        <w:t>Infrastructure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Infrastructure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Quality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EU Rank</w:t>
            </w:r>
          </w:p>
        </w:tc>
      </w:tr>
      <w:tr>
        <w:tc>
          <w:tcPr>
            <w:tcW w:type="dxa" w:w="2160"/>
          </w:tcPr>
          <w:p>
            <w:r>
              <w:t>5G Population</w:t>
            </w:r>
          </w:p>
        </w:tc>
        <w:tc>
          <w:tcPr>
            <w:tcW w:type="dxa" w:w="2160"/>
          </w:tcPr>
          <w:p>
            <w:r>
              <w:t>99.7%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3rd</w:t>
            </w:r>
          </w:p>
        </w:tc>
      </w:tr>
      <w:tr>
        <w:tc>
          <w:tcPr>
            <w:tcW w:type="dxa" w:w="2160"/>
          </w:tcPr>
          <w:p>
            <w:r>
              <w:t>5G Geographic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18th</w:t>
            </w:r>
          </w:p>
        </w:tc>
      </w:tr>
      <w:tr>
        <w:tc>
          <w:tcPr>
            <w:tcW w:type="dxa" w:w="2160"/>
          </w:tcPr>
          <w:p>
            <w:r>
              <w:t>Fiber (FTTH)</w:t>
            </w:r>
          </w:p>
        </w:tc>
        <w:tc>
          <w:tcPr>
            <w:tcW w:type="dxa" w:w="2160"/>
          </w:tcPr>
          <w:p>
            <w:r>
              <w:t>44%</w:t>
            </w:r>
          </w:p>
        </w:tc>
        <w:tc>
          <w:tcPr>
            <w:tcW w:type="dxa" w:w="2160"/>
          </w:tcPr>
          <w:p>
            <w:r>
              <w:t>Growing</w:t>
            </w:r>
          </w:p>
        </w:tc>
        <w:tc>
          <w:tcPr>
            <w:tcW w:type="dxa" w:w="2160"/>
          </w:tcPr>
          <w:p>
            <w:r>
              <w:t>15th</w:t>
            </w:r>
          </w:p>
        </w:tc>
      </w:tr>
      <w:tr>
        <w:tc>
          <w:tcPr>
            <w:tcW w:type="dxa" w:w="2160"/>
          </w:tcPr>
          <w:p>
            <w:r>
              <w:t>Data Centers</w:t>
            </w:r>
          </w:p>
        </w:tc>
        <w:tc>
          <w:tcPr>
            <w:tcW w:type="dxa" w:w="2160"/>
          </w:tcPr>
          <w:p>
            <w:r>
              <w:t>82 facilities</w:t>
            </w:r>
          </w:p>
        </w:tc>
        <w:tc>
          <w:tcPr>
            <w:tcW w:type="dxa" w:w="2160"/>
          </w:tcPr>
          <w:p>
            <w:r>
              <w:t>Tier 2-3</w:t>
            </w:r>
          </w:p>
        </w:tc>
        <w:tc>
          <w:tcPr>
            <w:tcW w:type="dxa" w:w="2160"/>
          </w:tcPr>
          <w:p>
            <w:r>
              <w:t>5th</w:t>
            </w:r>
          </w:p>
        </w:tc>
      </w:tr>
    </w:tbl>
    <w:p>
      <w:pPr>
        <w:pStyle w:val="Heading1"/>
      </w:pPr>
      <w:r>
        <w:t>China Exposure Indicators (Claude Addition)</w:t>
      </w:r>
    </w:p>
    <w:p>
      <w:pPr>
        <w:pStyle w:val="Heading2"/>
      </w:pPr>
      <w:r>
        <w:t>Collaboration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Trend</w:t>
            </w:r>
          </w:p>
        </w:tc>
      </w:tr>
      <w:tr>
        <w:tc>
          <w:tcPr>
            <w:tcW w:type="dxa" w:w="2160"/>
          </w:tcPr>
          <w:p>
            <w:r>
              <w:t>Co-publications</w:t>
            </w:r>
          </w:p>
        </w:tc>
        <w:tc>
          <w:tcPr>
            <w:tcW w:type="dxa" w:w="2160"/>
          </w:tcPr>
          <w:p>
            <w:r>
              <w:t>3,847 (2023)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+12% YoY</w:t>
            </w:r>
          </w:p>
        </w:tc>
      </w:tr>
      <w:tr>
        <w:tc>
          <w:tcPr>
            <w:tcW w:type="dxa" w:w="2160"/>
          </w:tcPr>
          <w:p>
            <w:r>
              <w:t>Joint Patents</w:t>
            </w:r>
          </w:p>
        </w:tc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Low-Medium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</w:tr>
      <w:tr>
        <w:tc>
          <w:tcPr>
            <w:tcW w:type="dxa" w:w="2160"/>
          </w:tcPr>
          <w:p>
            <w:r>
              <w:t>Conference Co-presence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Increasing</w:t>
            </w:r>
          </w:p>
        </w:tc>
      </w:tr>
      <w:tr>
        <w:tc>
          <w:tcPr>
            <w:tcW w:type="dxa" w:w="2160"/>
          </w:tcPr>
          <w:p>
            <w:r>
              <w:t>MoU Count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Critical gap</w:t>
            </w:r>
          </w:p>
        </w:tc>
        <w:tc>
          <w:tcPr>
            <w:tcW w:type="dxa" w:w="2160"/>
          </w:tcPr>
          <w:p>
            <w:r>
              <w:t>No registry</w:t>
            </w:r>
          </w:p>
        </w:tc>
      </w:tr>
      <w:tr>
        <w:tc>
          <w:tcPr>
            <w:tcW w:type="dxa" w:w="2160"/>
          </w:tcPr>
          <w:p>
            <w:r>
              <w:t>Student Exchange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Critical gap</w:t>
            </w:r>
          </w:p>
        </w:tc>
        <w:tc>
          <w:tcPr>
            <w:tcW w:type="dxa" w:w="2160"/>
          </w:tcPr>
          <w:p>
            <w:r>
              <w:t>Untracked</w:t>
            </w:r>
          </w:p>
        </w:tc>
      </w:tr>
    </w:tbl>
    <w:p>
      <w:pPr>
        <w:pStyle w:val="Heading2"/>
      </w:pPr>
      <w:r>
        <w:t>Technology Transfer Risk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Activity 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Control 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 Score</w:t>
            </w:r>
          </w:p>
        </w:tc>
      </w:tr>
      <w:tr>
        <w:tc>
          <w:tcPr>
            <w:tcW w:type="dxa" w:w="2160"/>
          </w:tcPr>
          <w:p>
            <w:r>
              <w:t>Academic Collaboration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WEAK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</w:tr>
      <w:tr>
        <w:tc>
          <w:tcPr>
            <w:tcW w:type="dxa" w:w="2160"/>
          </w:tcPr>
          <w:p>
            <w:r>
              <w:t>Industrial Partnership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</w:tr>
      <w:tr>
        <w:tc>
          <w:tcPr>
            <w:tcW w:type="dxa" w:w="2160"/>
          </w:tcPr>
          <w:p>
            <w:r>
              <w:t>Conference Networking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</w:tr>
      <w:tr>
        <w:tc>
          <w:tcPr>
            <w:tcW w:type="dxa" w:w="2160"/>
          </w:tcPr>
          <w:p>
            <w:r>
              <w:t>Talent Programs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MINIMAL</w:t>
            </w:r>
          </w:p>
        </w:tc>
        <w:tc>
          <w:tcPr>
            <w:tcW w:type="dxa" w:w="2160"/>
          </w:tcPr>
          <w:p>
            <w:r>
              <w:t>?/10</w:t>
            </w:r>
          </w:p>
        </w:tc>
      </w:tr>
    </w:tbl>
    <w:p>
      <w:pPr>
        <w:pStyle w:val="Heading1"/>
      </w:pPr>
      <w:r>
        <w:t>Critical Data Gaps</w:t>
      </w:r>
    </w:p>
    <w:p>
      <w:pPr>
        <w:pStyle w:val="Heading2"/>
      </w:pPr>
      <w:r>
        <w:t>High Priority Gaps</w:t>
      </w:r>
    </w:p>
    <w:p>
      <w:pPr>
        <w:pStyle w:val="ListNumber"/>
      </w:pPr>
      <w:r>
        <w:t>**Chinese Researcher Quantification**</w:t>
      </w:r>
    </w:p>
    <w:p>
      <w:pPr>
        <w:pStyle w:val="ListBullet"/>
      </w:pPr>
      <w:r>
        <w:t>No data on actual numbers in Italian institutions</w:t>
      </w:r>
    </w:p>
    <w:p>
      <w:pPr>
        <w:pStyle w:val="ListBullet"/>
      </w:pPr>
      <w:r>
        <w:t>Breakdown by field unavailable</w:t>
      </w:r>
    </w:p>
    <w:p>
      <w:pPr>
        <w:pStyle w:val="ListBullet"/>
      </w:pPr>
      <w:r>
        <w:t>Visiting scholar tracking absent</w:t>
      </w:r>
    </w:p>
    <w:p>
      <w:pPr>
        <w:pStyle w:val="ListNumber"/>
      </w:pPr>
      <w:r>
        <w:t>**Conference Intelligence**</w:t>
      </w:r>
    </w:p>
    <w:p>
      <w:pPr>
        <w:pStyle w:val="ListBullet"/>
      </w:pPr>
      <w:r>
        <w:t>No systematic tracking of technology disclosure</w:t>
      </w:r>
    </w:p>
    <w:p>
      <w:pPr>
        <w:pStyle w:val="ListBullet"/>
      </w:pPr>
      <w:r>
        <w:t>Side meeting records unavailable</w:t>
      </w:r>
    </w:p>
    <w:p>
      <w:pPr>
        <w:pStyle w:val="ListBullet"/>
      </w:pPr>
      <w:r>
        <w:t>MoU timing correlation missing</w:t>
      </w:r>
    </w:p>
    <w:p>
      <w:pPr>
        <w:pStyle w:val="ListNumber"/>
      </w:pPr>
      <w:r>
        <w:t>**Supply Chain Visibility**</w:t>
      </w:r>
    </w:p>
    <w:p>
      <w:pPr>
        <w:pStyle w:val="ListBullet"/>
      </w:pPr>
      <w:r>
        <w:t>Tier-2/3 suppliers unmapped</w:t>
      </w:r>
    </w:p>
    <w:p>
      <w:pPr>
        <w:pStyle w:val="ListBullet"/>
      </w:pPr>
      <w:r>
        <w:t>China dependencies unclear</w:t>
      </w:r>
    </w:p>
    <w:p>
      <w:pPr>
        <w:pStyle w:val="ListBullet"/>
      </w:pPr>
      <w:r>
        <w:t>CAGE/NCAGE incomplete</w:t>
      </w:r>
    </w:p>
    <w:p>
      <w:pPr>
        <w:pStyle w:val="ListNumber"/>
      </w:pPr>
      <w:r>
        <w:t>**Funding Transparency**</w:t>
      </w:r>
    </w:p>
    <w:p>
      <w:pPr>
        <w:pStyle w:val="ListBullet"/>
      </w:pPr>
      <w:r>
        <w:t>Ultimate beneficial ownership hidden</w:t>
      </w:r>
    </w:p>
    <w:p>
      <w:pPr>
        <w:pStyle w:val="ListBullet"/>
      </w:pPr>
      <w:r>
        <w:t>Third-country flows opaque</w:t>
      </w:r>
    </w:p>
    <w:p>
      <w:pPr>
        <w:pStyle w:val="ListBullet"/>
      </w:pPr>
      <w:r>
        <w:t>VC LP structures unknown</w:t>
      </w:r>
    </w:p>
    <w:p>
      <w:pPr>
        <w:pStyle w:val="Heading2"/>
      </w:pPr>
      <w:r>
        <w:t>Medium Priority Gaps</w:t>
      </w:r>
    </w:p>
    <w:p>
      <w:pPr>
        <w:pStyle w:val="ListBullet"/>
      </w:pPr>
      <w:r>
        <w:t>DIANA company performance metrics</w:t>
      </w:r>
    </w:p>
    <w:p>
      <w:pPr>
        <w:pStyle w:val="ListBullet"/>
      </w:pPr>
      <w:r>
        <w:t>NIF contribution details</w:t>
      </w:r>
    </w:p>
    <w:p>
      <w:pPr>
        <w:pStyle w:val="ListBullet"/>
      </w:pPr>
      <w:r>
        <w:t>Regional innovation disparities</w:t>
      </w:r>
    </w:p>
    <w:p>
      <w:pPr>
        <w:pStyle w:val="ListBullet"/>
      </w:pPr>
      <w:r>
        <w:t>Dual-use export data</w:t>
      </w:r>
    </w:p>
    <w:p>
      <w:pPr>
        <w:pStyle w:val="ListBullet"/>
      </w:pPr>
      <w:r>
        <w:t>Cyber incident attribution</w:t>
      </w:r>
    </w:p>
    <w:p>
      <w:pPr>
        <w:pStyle w:val="Heading1"/>
      </w:pPr>
      <w:r>
        <w:t>Early Warning Indicators</w:t>
      </w:r>
    </w:p>
    <w:p>
      <w:pPr>
        <w:pStyle w:val="Heading2"/>
      </w:pPr>
      <w:r>
        <w:t>Quantitative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Yellow Alert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Red Alert</w:t>
            </w:r>
          </w:p>
        </w:tc>
      </w:tr>
      <w:tr>
        <w:tc>
          <w:tcPr>
            <w:tcW w:type="dxa" w:w="2160"/>
          </w:tcPr>
          <w:p>
            <w:r>
              <w:t>Patent decline</w:t>
            </w:r>
          </w:p>
        </w:tc>
        <w:tc>
          <w:tcPr>
            <w:tcW w:type="dxa" w:w="2160"/>
          </w:tcPr>
          <w:p>
            <w:r>
              <w:t>4,834</w:t>
            </w:r>
          </w:p>
        </w:tc>
        <w:tc>
          <w:tcPr>
            <w:tcW w:type="dxa" w:w="2160"/>
          </w:tcPr>
          <w:p>
            <w:r>
              <w:t>&lt;4,500</w:t>
            </w:r>
          </w:p>
        </w:tc>
        <w:tc>
          <w:tcPr>
            <w:tcW w:type="dxa" w:w="2160"/>
          </w:tcPr>
          <w:p>
            <w:r>
              <w:t>&lt;4,000</w:t>
            </w:r>
          </w:p>
        </w:tc>
      </w:tr>
      <w:tr>
        <w:tc>
          <w:tcPr>
            <w:tcW w:type="dxa" w:w="2160"/>
          </w:tcPr>
          <w:p>
            <w:r>
              <w:t>Researcher outflow</w:t>
            </w:r>
          </w:p>
        </w:tc>
        <w:tc>
          <w:tcPr>
            <w:tcW w:type="dxa" w:w="2160"/>
          </w:tcPr>
          <w:p>
            <w:r>
              <w:t>-3.2%</w:t>
            </w:r>
          </w:p>
        </w:tc>
        <w:tc>
          <w:tcPr>
            <w:tcW w:type="dxa" w:w="2160"/>
          </w:tcPr>
          <w:p>
            <w:r>
              <w:t>&gt;-5%</w:t>
            </w:r>
          </w:p>
        </w:tc>
        <w:tc>
          <w:tcPr>
            <w:tcW w:type="dxa" w:w="2160"/>
          </w:tcPr>
          <w:p>
            <w:r>
              <w:t>&gt;-7%</w:t>
            </w:r>
          </w:p>
        </w:tc>
      </w:tr>
      <w:tr>
        <w:tc>
          <w:tcPr>
            <w:tcW w:type="dxa" w:w="2160"/>
          </w:tcPr>
          <w:p>
            <w:r>
              <w:t>Defense spending</w:t>
            </w:r>
          </w:p>
        </w:tc>
        <w:tc>
          <w:tcPr>
            <w:tcW w:type="dxa" w:w="2160"/>
          </w:tcPr>
          <w:p>
            <w:r>
              <w:t>1.46%</w:t>
            </w:r>
          </w:p>
        </w:tc>
        <w:tc>
          <w:tcPr>
            <w:tcW w:type="dxa" w:w="2160"/>
          </w:tcPr>
          <w:p>
            <w:r>
              <w:t>&lt;1.4%</w:t>
            </w:r>
          </w:p>
        </w:tc>
        <w:tc>
          <w:tcPr>
            <w:tcW w:type="dxa" w:w="2160"/>
          </w:tcPr>
          <w:p>
            <w:r>
              <w:t>&lt;1.3%</w:t>
            </w:r>
          </w:p>
        </w:tc>
      </w:tr>
      <w:tr>
        <w:tc>
          <w:tcPr>
            <w:tcW w:type="dxa" w:w="2160"/>
          </w:tcPr>
          <w:p>
            <w:r>
              <w:t>STANAG compliance</w:t>
            </w:r>
          </w:p>
        </w:tc>
        <w:tc>
          <w:tcPr>
            <w:tcW w:type="dxa" w:w="2160"/>
          </w:tcPr>
          <w:p>
            <w:r>
              <w:t>56%</w:t>
            </w:r>
          </w:p>
        </w:tc>
        <w:tc>
          <w:tcPr>
            <w:tcW w:type="dxa" w:w="2160"/>
          </w:tcPr>
          <w:p>
            <w:r>
              <w:t>&lt;50%</w:t>
            </w:r>
          </w:p>
        </w:tc>
        <w:tc>
          <w:tcPr>
            <w:tcW w:type="dxa" w:w="2160"/>
          </w:tcPr>
          <w:p>
            <w:r>
              <w:t>&lt;45%</w:t>
            </w:r>
          </w:p>
        </w:tc>
      </w:tr>
      <w:tr>
        <w:tc>
          <w:tcPr>
            <w:tcW w:type="dxa" w:w="2160"/>
          </w:tcPr>
          <w:p>
            <w:r>
              <w:t>China co-pubs</w:t>
            </w:r>
          </w:p>
        </w:tc>
        <w:tc>
          <w:tcPr>
            <w:tcW w:type="dxa" w:w="2160"/>
          </w:tcPr>
          <w:p>
            <w:r>
              <w:t>3,847</w:t>
            </w:r>
          </w:p>
        </w:tc>
        <w:tc>
          <w:tcPr>
            <w:tcW w:type="dxa" w:w="2160"/>
          </w:tcPr>
          <w:p>
            <w:r>
              <w:t>&gt;5,000</w:t>
            </w:r>
          </w:p>
        </w:tc>
        <w:tc>
          <w:tcPr>
            <w:tcW w:type="dxa" w:w="2160"/>
          </w:tcPr>
          <w:p>
            <w:r>
              <w:t>&gt;7,000</w:t>
            </w:r>
          </w:p>
        </w:tc>
      </w:tr>
    </w:tbl>
    <w:p>
      <w:pPr>
        <w:pStyle w:val="Heading2"/>
      </w:pPr>
      <w:r>
        <w:t>Qualitative Signals</w:t>
      </w:r>
    </w:p>
    <w:p>
      <w:pPr>
        <w:pStyle w:val="ListBullet"/>
      </w:pPr>
      <w:r>
        <w:t>Increased PRC presence at Italian defense conferences</w:t>
      </w:r>
    </w:p>
    <w:p>
      <w:pPr>
        <w:pStyle w:val="ListBullet"/>
      </w:pPr>
      <w:r>
        <w:t>Unexplained technology similarities in Chinese systems</w:t>
      </w:r>
    </w:p>
    <w:p>
      <w:pPr>
        <w:pStyle w:val="ListBullet"/>
      </w:pPr>
      <w:r>
        <w:t>Sudden funding for specific research areas</w:t>
      </w:r>
    </w:p>
    <w:p>
      <w:pPr>
        <w:pStyle w:val="ListBullet"/>
      </w:pPr>
      <w:r>
        <w:t>Key researcher recruitment patterns</w:t>
      </w:r>
    </w:p>
    <w:p>
      <w:pPr>
        <w:pStyle w:val="ListBullet"/>
      </w:pPr>
      <w:r>
        <w:t>Patent citation anomalies</w:t>
      </w:r>
    </w:p>
    <w:p>
      <w:pPr>
        <w:pStyle w:val="Heading1"/>
      </w:pPr>
      <w:r>
        <w:t>Collection Methodology Assessment</w:t>
      </w:r>
    </w:p>
    <w:p>
      <w:pPr>
        <w:pStyle w:val="Heading2"/>
      </w:pPr>
      <w:r>
        <w:t>Automated Collection (60%)</w:t>
      </w:r>
    </w:p>
    <w:p>
      <w:pPr>
        <w:pStyle w:val="ListBullet"/>
      </w:pPr>
      <w:r>
        <w:t>Bank of Italy API feeds</w:t>
      </w:r>
    </w:p>
    <w:p>
      <w:pPr>
        <w:pStyle w:val="ListBullet"/>
      </w:pPr>
      <w:r>
        <w:t>CrossRef/OpenAlex harvesting</w:t>
      </w:r>
    </w:p>
    <w:p>
      <w:pPr>
        <w:pStyle w:val="ListBullet"/>
      </w:pPr>
      <w:r>
        <w:t>Common Crawl analysis</w:t>
      </w:r>
    </w:p>
    <w:p>
      <w:pPr>
        <w:pStyle w:val="ListBullet"/>
      </w:pPr>
      <w:r>
        <w:t>GitHub contribution tracking</w:t>
      </w:r>
    </w:p>
    <w:p>
      <w:pPr>
        <w:pStyle w:val="Heading2"/>
      </w:pPr>
      <w:r>
        <w:t>Semi-Automated (25%)</w:t>
      </w:r>
    </w:p>
    <w:p>
      <w:pPr>
        <w:pStyle w:val="ListBullet"/>
      </w:pPr>
      <w:r>
        <w:t>ISTAT SDMX queries</w:t>
      </w:r>
    </w:p>
    <w:p>
      <w:pPr>
        <w:pStyle w:val="ListBullet"/>
      </w:pPr>
      <w:r>
        <w:t>EPO patent searches</w:t>
      </w:r>
    </w:p>
    <w:p>
      <w:pPr>
        <w:pStyle w:val="ListBullet"/>
      </w:pPr>
      <w:r>
        <w:t>NATO STO abstracts</w:t>
      </w:r>
    </w:p>
    <w:p>
      <w:pPr>
        <w:pStyle w:val="ListBullet"/>
      </w:pPr>
      <w:r>
        <w:t>TED procurement extraction</w:t>
      </w:r>
    </w:p>
    <w:p>
      <w:pPr>
        <w:pStyle w:val="Heading2"/>
      </w:pPr>
      <w:r>
        <w:t>Manual Collection (15%)</w:t>
      </w:r>
    </w:p>
    <w:p>
      <w:pPr>
        <w:pStyle w:val="ListBullet"/>
      </w:pPr>
      <w:r>
        <w:t>MISE quarterly reports</w:t>
      </w:r>
    </w:p>
    <w:p>
      <w:pPr>
        <w:pStyle w:val="ListBullet"/>
      </w:pPr>
      <w:r>
        <w:t>Conference attendance</w:t>
      </w:r>
    </w:p>
    <w:p>
      <w:pPr>
        <w:pStyle w:val="ListBullet"/>
      </w:pPr>
      <w:r>
        <w:t>Expert interviews</w:t>
      </w:r>
    </w:p>
    <w:p>
      <w:pPr>
        <w:pStyle w:val="ListBullet"/>
      </w:pPr>
      <w:r>
        <w:t>Gray literature review</w:t>
      </w:r>
    </w:p>
    <w:p>
      <w:pPr>
        <w:pStyle w:val="Heading1"/>
      </w:pPr>
      <w:r>
        <w:t>Recommendations</w:t>
      </w:r>
    </w:p>
    <w:p>
      <w:pPr>
        <w:pStyle w:val="Heading2"/>
      </w:pPr>
      <w:r>
        <w:t>Immediate Actions</w:t>
      </w:r>
    </w:p>
    <w:p>
      <w:r>
        <w:t xml:space="preserve">1. </w:t>
      </w:r>
      <w:r>
        <w:rPr>
          <w:b/>
        </w:rPr>
        <w:t>Establish MoU Registry:</w:t>
      </w:r>
      <w:r>
        <w:t xml:space="preserve"> Central tracking system for all international agreements</w:t>
      </w:r>
    </w:p>
    <w:p>
      <w:r>
        <w:t xml:space="preserve">2. </w:t>
      </w:r>
      <w:r>
        <w:rPr>
          <w:b/>
        </w:rPr>
        <w:t>Deploy Conference Monitoring:</w:t>
      </w:r>
      <w:r>
        <w:t xml:space="preserve"> Real-time intelligence from Tier-1 events</w:t>
      </w:r>
    </w:p>
    <w:p>
      <w:r>
        <w:t xml:space="preserve">3. </w:t>
      </w:r>
      <w:r>
        <w:rPr>
          <w:b/>
        </w:rPr>
        <w:t>Quantify Researcher Presence:</w:t>
      </w:r>
      <w:r>
        <w:t xml:space="preserve"> Census of foreign researchers by institution</w:t>
      </w:r>
    </w:p>
    <w:p>
      <w:r>
        <w:t xml:space="preserve">4. </w:t>
      </w:r>
      <w:r>
        <w:rPr>
          <w:b/>
        </w:rPr>
        <w:t>Map Supply Dependencies:</w:t>
      </w:r>
      <w:r>
        <w:t xml:space="preserve"> Complete Tier-2/3 supplier identification</w:t>
      </w:r>
    </w:p>
    <w:p>
      <w:pPr>
        <w:pStyle w:val="Heading2"/>
      </w:pPr>
      <w:r>
        <w:t>System Improvements</w:t>
      </w:r>
    </w:p>
    <w:p>
      <w:pPr>
        <w:pStyle w:val="ListNumber"/>
      </w:pPr>
      <w:r>
        <w:t>Automate MISE data extraction</w:t>
      </w:r>
    </w:p>
    <w:p>
      <w:pPr>
        <w:pStyle w:val="ListNumber"/>
      </w:pPr>
      <w:r>
        <w:t>Integrate TED API for procurement intelligence</w:t>
      </w:r>
    </w:p>
    <w:p>
      <w:pPr>
        <w:pStyle w:val="ListNumber"/>
      </w:pPr>
      <w:r>
        <w:t>Develop China exposure dashboard</w:t>
      </w:r>
    </w:p>
    <w:p>
      <w:pPr>
        <w:pStyle w:val="ListNumber"/>
      </w:pPr>
      <w:r>
        <w:t>Create early warning alert system</w:t>
      </w:r>
    </w:p>
    <w:p>
      <w:pPr>
        <w:pStyle w:val="Heading2"/>
      </w:pPr>
      <w:r>
        <w:t>Policy Recommendations</w:t>
      </w:r>
    </w:p>
    <w:p>
      <w:pPr>
        <w:pStyle w:val="ListNumber"/>
      </w:pPr>
      <w:r>
        <w:t>Mandate research collaboration reporting</w:t>
      </w:r>
    </w:p>
    <w:p>
      <w:pPr>
        <w:pStyle w:val="ListNumber"/>
      </w:pPr>
      <w:r>
        <w:t>Strengthen export control enforcement</w:t>
      </w:r>
    </w:p>
    <w:p>
      <w:pPr>
        <w:pStyle w:val="ListNumber"/>
      </w:pPr>
      <w:r>
        <w:t>Enhance visiting scholar vetting</w:t>
      </w:r>
    </w:p>
    <w:p>
      <w:pPr>
        <w:pStyle w:val="ListNumber"/>
      </w:pPr>
      <w:r>
        <w:t>Increase R&amp;D investment to 2% GDP</w:t>
      </w:r>
    </w:p>
    <w:p>
      <w:pPr>
        <w:pStyle w:val="Heading1"/>
      </w:pPr>
      <w:r>
        <w:t>Quality Assessment</w:t>
      </w:r>
    </w:p>
    <w:p>
      <w:pPr>
        <w:pStyle w:val="Heading2"/>
      </w:pPr>
      <w:r>
        <w:t>Data Quality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 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Completeness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Timeliness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Accessibility</w:t>
            </w:r>
          </w:p>
        </w:tc>
      </w:tr>
      <w:tr>
        <w:tc>
          <w:tcPr>
            <w:tcW w:type="dxa" w:w="1728"/>
          </w:tcPr>
          <w:p>
            <w:r>
              <w:t>National Stats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Good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NATO Metrics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Delayed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</w:tr>
      <w:tr>
        <w:tc>
          <w:tcPr>
            <w:tcW w:type="dxa" w:w="1728"/>
          </w:tcPr>
          <w:p>
            <w:r>
              <w:t>Innovation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Good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</w:tr>
      <w:tr>
        <w:tc>
          <w:tcPr>
            <w:tcW w:type="dxa" w:w="1728"/>
          </w:tcPr>
          <w:p>
            <w:r>
              <w:t>China Exposure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Poor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Blocked</w:t>
            </w:r>
          </w:p>
        </w:tc>
      </w:tr>
    </w:tbl>
    <w:p>
      <w:pPr>
        <w:pStyle w:val="Heading2"/>
      </w:pPr>
      <w:r>
        <w:t>Confidence Levels</w:t>
      </w:r>
    </w:p>
    <w:p>
      <w:r>
        <w:t xml:space="preserve">- </w:t>
      </w:r>
      <w:r>
        <w:rPr>
          <w:b/>
        </w:rPr>
        <w:t>Economic Indicators:</w:t>
      </w:r>
      <w:r>
        <w:t xml:space="preserve"> HIGH (official sources)</w:t>
      </w:r>
    </w:p>
    <w:p>
      <w:r>
        <w:t xml:space="preserve">- </w:t>
      </w:r>
      <w:r>
        <w:rPr>
          <w:b/>
        </w:rPr>
        <w:t>Innovation Metrics:</w:t>
      </w:r>
      <w:r>
        <w:t xml:space="preserve"> MEDIUM-HIGH (some gaps)</w:t>
      </w:r>
    </w:p>
    <w:p>
      <w:r>
        <w:t xml:space="preserve">- </w:t>
      </w:r>
      <w:r>
        <w:rPr>
          <w:b/>
        </w:rPr>
        <w:t>NATO Compliance:</w:t>
      </w:r>
      <w:r>
        <w:t xml:space="preserve"> HIGH (official reporting)</w:t>
      </w:r>
    </w:p>
    <w:p>
      <w:r>
        <w:t xml:space="preserve">- </w:t>
      </w:r>
      <w:r>
        <w:rPr>
          <w:b/>
        </w:rPr>
        <w:t>Technology Adoption:</w:t>
      </w:r>
      <w:r>
        <w:t xml:space="preserve"> MEDIUM (survey-based)</w:t>
      </w:r>
    </w:p>
    <w:p>
      <w:r>
        <w:t xml:space="preserve">- </w:t>
      </w:r>
      <w:r>
        <w:rPr>
          <w:b/>
        </w:rPr>
        <w:t>China Exposure:</w:t>
      </w:r>
      <w:r>
        <w:t xml:space="preserve"> LOW (critical gaps)</w:t>
      </w:r>
    </w:p>
    <w:p>
      <w:pPr>
        <w:pStyle w:val="Heading1"/>
      </w:pPr>
      <w:r>
        <w:t>Phase 2 Compliance</w:t>
      </w:r>
    </w:p>
    <w:p>
      <w:pPr>
        <w:pStyle w:val="Heading2"/>
      </w:pPr>
      <w:r>
        <w:t>ChatGPT v6 Requirements</w:t>
      </w:r>
    </w:p>
    <w:p>
      <w:r>
        <w:t>✓ Comprehensive source mapping</w:t>
      </w:r>
    </w:p>
    <w:p>
      <w:r>
        <w:t>✓ Quantitative baselines established</w:t>
      </w:r>
    </w:p>
    <w:p>
      <w:r>
        <w:t>✓ NATO metrics included</w:t>
      </w:r>
    </w:p>
    <w:p>
      <w:r>
        <w:t>✓ Collection gaps documented</w:t>
      </w:r>
    </w:p>
    <w:p>
      <w:r>
        <w:t>✓ Automation levels specified</w:t>
      </w:r>
    </w:p>
    <w:p>
      <w:pPr>
        <w:pStyle w:val="Heading2"/>
      </w:pPr>
      <w:r>
        <w:t>Claude Enhancements</w:t>
      </w:r>
    </w:p>
    <w:p>
      <w:r>
        <w:t>✓ Conference intelligence gaps</w:t>
      </w:r>
    </w:p>
    <w:p>
      <w:r>
        <w:t>✓ China exposure indicators</w:t>
      </w:r>
    </w:p>
    <w:p>
      <w:r>
        <w:t>✓ Early warning thresholds</w:t>
      </w:r>
    </w:p>
    <w:p>
      <w:r>
        <w:t>✓ Supply chain visibility</w:t>
      </w:r>
    </w:p>
    <w:p>
      <w:r>
        <w:t>✓ Quality assessment matrix</w:t>
      </w:r>
    </w:p>
    <w:p>
      <w:pPr>
        <w:pStyle w:val="Heading1"/>
      </w:pPr>
      <w:r>
        <w:t>Conclusion</w:t>
      </w:r>
    </w:p>
    <w:p>
      <w:r>
        <w:t>Phase 2 reveals Italy's innovation system operating significantly below EU/NATO standards with critical blind spots in China exposure tracking. The 1.45% R&amp;D investment and talent retention crisis (-3.2% researcher outflow) threaten long-term competitiveness. Most concerning is the complete absence of systematic tracking for technology transfer vectors, particularly through conferences and academic exchanges.</w:t>
      </w:r>
    </w:p>
    <w:p>
      <w:r/>
      <w:r>
        <w:rPr>
          <w:b/>
        </w:rPr>
        <w:t>Priority Intelligence Requirements:</w:t>
      </w:r>
      <w:r/>
    </w:p>
    <w:p>
      <w:pPr>
        <w:pStyle w:val="ListNumber"/>
      </w:pPr>
      <w:r>
        <w:t>Quantify Chinese researcher presence immediately</w:t>
      </w:r>
    </w:p>
    <w:p>
      <w:pPr>
        <w:pStyle w:val="ListNumber"/>
      </w:pPr>
      <w:r>
        <w:t>Establish conference monitoring by Q2 2025</w:t>
      </w:r>
    </w:p>
    <w:p>
      <w:pPr>
        <w:pStyle w:val="ListNumber"/>
      </w:pPr>
      <w:r>
        <w:t>Complete supply chain mapping by Q3 2025</w:t>
      </w:r>
    </w:p>
    <w:p>
      <w:pPr>
        <w:pStyle w:val="ListNumber"/>
      </w:pPr>
      <w:r>
        <w:t>Deploy early warning system by Q4 2025</w:t>
      </w:r>
    </w:p>
    <w:p>
      <w:pPr>
        <w:pStyle w:val="ListBullet"/>
      </w:pPr>
    </w:p>
    <w:p>
      <w:pPr>
        <w:pStyle w:val="ListBullet"/>
      </w:pPr>
      <w:r>
        <w:t>Next Phase: Institutional Landscape (Phase 3)*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