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3: Institutional Landscape - Italy Technology Security Assessment</w:t>
      </w:r>
    </w:p>
    <w:p>
      <w:r/>
      <w:r>
        <w:rPr>
          <w:b/>
        </w:rPr>
        <w:t>Generated:</w:t>
      </w:r>
      <w:r>
        <w:t xml:space="preserve"> 2025-09-16</w:t>
      </w:r>
    </w:p>
    <w:p>
      <w:r/>
      <w:r>
        <w:rPr>
          <w:b/>
        </w:rPr>
        <w:t>Sources:</w:t>
      </w:r>
      <w:r>
        <w:t xml:space="preserve"> ChatGPT Phase Documents + Claude Analysis</w:t>
      </w:r>
    </w:p>
    <w:p>
      <w:r/>
      <w:r>
        <w:rPr>
          <w:b/>
        </w:rPr>
        <w:t>Classification:</w:t>
      </w:r>
      <w:r>
        <w:t xml:space="preserve"> OSINT Synthesis</w:t>
      </w:r>
    </w:p>
    <w:p>
      <w:pPr>
        <w:pStyle w:val="Heading1"/>
      </w:pPr>
      <w:r>
        <w:t>Executive Summary</w:t>
      </w:r>
    </w:p>
    <w:p>
      <w:r>
        <w:t>Phase 3 reveals Italy's technology landscape as a complex ecosystem of defense primes, research institutions, and universities with significant China exposure risks. The analysis identifies critical vulnerabilities in conference-based technology transfer, weak oversight of international collaborations, and a concerning "triangle risk" where US technology flows through Italian entities to potential Chinese access points.</w:t>
      </w:r>
    </w:p>
    <w:p>
      <w:pPr>
        <w:pStyle w:val="Heading1"/>
      </w:pPr>
      <w:r>
        <w:t>Technology Capability Mapping</w:t>
      </w:r>
    </w:p>
    <w:p>
      <w:pPr>
        <w:pStyle w:val="Heading2"/>
      </w:pPr>
      <w:r>
        <w:t>Defense Prime Contractors</w:t>
      </w:r>
    </w:p>
    <w:p>
      <w:pPr>
        <w:pStyle w:val="Heading3"/>
      </w:pPr>
      <w:r>
        <w:t>Leonardo S.p.A. - Critical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Annual Revenue</w:t>
            </w:r>
          </w:p>
        </w:tc>
        <w:tc>
          <w:tcPr>
            <w:tcW w:type="dxa" w:w="2880"/>
          </w:tcPr>
          <w:p>
            <w:r>
              <w:t>€15.3B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Global Employees</w:t>
            </w:r>
          </w:p>
        </w:tc>
        <w:tc>
          <w:tcPr>
            <w:tcW w:type="dxa" w:w="2880"/>
          </w:tcPr>
          <w:p>
            <w:r>
              <w:t>53,000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China Operations</w:t>
            </w:r>
          </w:p>
        </w:tc>
        <w:tc>
          <w:tcPr>
            <w:tcW w:type="dxa" w:w="2880"/>
          </w:tcPr>
          <w:p>
            <w:r>
              <w:t>Leonardo (China) Co., Ltd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US Clearance Level</w:t>
            </w:r>
          </w:p>
        </w:tc>
        <w:tc>
          <w:tcPr>
            <w:tcW w:type="dxa" w:w="2880"/>
          </w:tcPr>
          <w:p>
            <w:r>
              <w:t>TS/SCI via Leonardo DRS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Triangle Risk Score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/>
      <w:r>
        <w:rPr>
          <w:b/>
        </w:rPr>
        <w:t>China Connections Analysis:</w:t>
      </w:r>
      <w:r/>
    </w:p>
    <w:p>
      <w:r>
        <w:t xml:space="preserve">- </w:t>
      </w:r>
      <w:r>
        <w:rPr>
          <w:b/>
        </w:rPr>
        <w:t>Direct Subsidiary:</w:t>
      </w:r>
      <w:r>
        <w:t xml:space="preserve"> Fully-owned Leonardo (China) Co., Ltd in Beijing</w:t>
      </w:r>
    </w:p>
    <w:p>
      <w:r>
        <w:t xml:space="preserve">- </w:t>
      </w:r>
      <w:r>
        <w:rPr>
          <w:b/>
        </w:rPr>
        <w:t>Market Position:</w:t>
      </w:r>
      <w:r>
        <w:t xml:space="preserve"> 70% market share in Chinese HEMS, 40% in law enforcement</w:t>
      </w:r>
    </w:p>
    <w:p>
      <w:r>
        <w:t xml:space="preserve">- </w:t>
      </w:r>
      <w:r>
        <w:rPr>
          <w:b/>
        </w:rPr>
        <w:t>Recent Contracts:</w:t>
      </w:r>
      <w:r>
        <w:t xml:space="preserve"> 30 EMS helicopters (2024), Beijing Police AW189s (2023)</w:t>
      </w:r>
    </w:p>
    <w:p>
      <w:r>
        <w:t xml:space="preserve">- </w:t>
      </w:r>
      <w:r>
        <w:rPr>
          <w:b/>
        </w:rPr>
        <w:t>Technology Exposure:</w:t>
      </w:r>
      <w:r>
        <w:t xml:space="preserve"> Helicopter design, rotorcraft technology, avionics</w:t>
      </w:r>
    </w:p>
    <w:p>
      <w:r/>
      <w:r>
        <w:rPr>
          <w:b/>
        </w:rPr>
        <w:t>Triangle Risk Pathway:</w:t>
      </w:r>
      <w:r>
        <w:t xml:space="preserve"> US classified technology → Leonardo DRS → Leonardo SpA → China exposure through subsidiary operations and maintenance agreements.</w:t>
      </w:r>
    </w:p>
    <w:p>
      <w:pPr>
        <w:pStyle w:val="Heading3"/>
      </w:pPr>
      <w:r>
        <w:t>Fincantieri - Medium Risk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Annual Revenue</w:t>
            </w:r>
          </w:p>
        </w:tc>
        <w:tc>
          <w:tcPr>
            <w:tcW w:type="dxa" w:w="2880"/>
          </w:tcPr>
          <w:p>
            <w:r>
              <w:t>€7.9B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China Business</w:t>
            </w:r>
          </w:p>
        </w:tc>
        <w:tc>
          <w:tcPr>
            <w:tcW w:type="dxa" w:w="2880"/>
          </w:tcPr>
          <w:p>
            <w:r>
              <w:t>Limited civilian cooperation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Naval Programs</w:t>
            </w:r>
          </w:p>
        </w:tc>
        <w:tc>
          <w:tcPr>
            <w:tcW w:type="dxa" w:w="2880"/>
          </w:tcPr>
          <w:p>
            <w:r>
              <w:t>FREMM frigates, U212 submarines</w:t>
            </w:r>
          </w:p>
        </w:tc>
        <w:tc>
          <w:tcPr>
            <w:tcW w:type="dxa" w:w="2880"/>
          </w:tcPr>
          <w:p>
            <w:r>
              <w:t>HIGH VALUE</w:t>
            </w:r>
          </w:p>
        </w:tc>
      </w:tr>
      <w:tr>
        <w:tc>
          <w:tcPr>
            <w:tcW w:type="dxa" w:w="2880"/>
          </w:tcPr>
          <w:p>
            <w:r>
              <w:t>Technology at Risk</w:t>
            </w:r>
          </w:p>
        </w:tc>
        <w:tc>
          <w:tcPr>
            <w:tcW w:type="dxa" w:w="2880"/>
          </w:tcPr>
          <w:p>
            <w:r>
              <w:t>Submarine design, marine propulsion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Research Institution Analysis</w:t>
      </w:r>
    </w:p>
    <w:p>
      <w:pPr>
        <w:pStyle w:val="Heading3"/>
      </w:pPr>
      <w:r>
        <w:t>CNR (National Research Council)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Research Institutes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China Collaborations</w:t>
            </w:r>
          </w:p>
        </w:tc>
        <w:tc>
          <w:tcPr>
            <w:tcW w:type="dxa" w:w="2880"/>
          </w:tcPr>
          <w:p>
            <w:r>
              <w:t>Multiple active partnerships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Chinese Researchers</w:t>
            </w:r>
          </w:p>
        </w:tc>
        <w:tc>
          <w:tcPr>
            <w:tcW w:type="dxa" w:w="2880"/>
          </w:tcPr>
          <w:p>
            <w:r>
              <w:t>Unknown number</w:t>
            </w:r>
          </w:p>
        </w:tc>
        <w:tc>
          <w:tcPr>
            <w:tcW w:type="dxa" w:w="2880"/>
          </w:tcPr>
          <w:p>
            <w:r>
              <w:t>CRITICAL GAP</w:t>
            </w:r>
          </w:p>
        </w:tc>
      </w:tr>
      <w:tr>
        <w:tc>
          <w:tcPr>
            <w:tcW w:type="dxa" w:w="2880"/>
          </w:tcPr>
          <w:p>
            <w:r>
              <w:t>Publication Co-authors</w:t>
            </w:r>
          </w:p>
        </w:tc>
        <w:tc>
          <w:tcPr>
            <w:tcW w:type="dxa" w:w="2880"/>
          </w:tcPr>
          <w:p>
            <w:r>
              <w:t>Extensive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Dual-Use Research</w:t>
            </w:r>
          </w:p>
        </w:tc>
        <w:tc>
          <w:tcPr>
            <w:tcW w:type="dxa" w:w="2880"/>
          </w:tcPr>
          <w:p>
            <w:r>
              <w:t>Quantum, AI, materials, photonics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/>
      <w:r>
        <w:rPr>
          <w:b/>
        </w:rPr>
        <w:t>Key Vulnerabilities:</w:t>
      </w:r>
      <w:r/>
    </w:p>
    <w:p>
      <w:pPr>
        <w:pStyle w:val="ListBullet"/>
      </w:pPr>
      <w:r>
        <w:t>Active partnerships with Chinese Academy of Sciences</w:t>
      </w:r>
    </w:p>
    <w:p>
      <w:pPr>
        <w:pStyle w:val="ListBullet"/>
      </w:pPr>
      <w:r>
        <w:t>No quantification of Chinese researcher presence</w:t>
      </w:r>
    </w:p>
    <w:p>
      <w:pPr>
        <w:pStyle w:val="ListBullet"/>
      </w:pPr>
      <w:r>
        <w:t>Research compartmentalization inadequate</w:t>
      </w:r>
    </w:p>
    <w:p>
      <w:pPr>
        <w:pStyle w:val="ListBullet"/>
      </w:pPr>
      <w:r>
        <w:t>Potential US collaboration exposure</w:t>
      </w:r>
    </w:p>
    <w:p>
      <w:pPr>
        <w:pStyle w:val="Heading3"/>
      </w:pPr>
      <w:r>
        <w:t>IIT (Istituto Italiano di Tecnologia)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 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Exposure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160"/>
          </w:tcPr>
          <w:p>
            <w:r>
              <w:t>Robotics Platforms</w:t>
            </w:r>
          </w:p>
        </w:tc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Beijing Institute of Technology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</w:tr>
      <w:tr>
        <w:tc>
          <w:tcPr>
            <w:tcW w:type="dxa" w:w="2160"/>
          </w:tcPr>
          <w:p>
            <w:r>
              <w:t>AI Systems</w:t>
            </w:r>
          </w:p>
        </w:tc>
        <w:tc>
          <w:tcPr>
            <w:tcW w:type="dxa" w:w="2160"/>
          </w:tcPr>
          <w:p>
            <w:r>
              <w:t>6-7</w:t>
            </w:r>
          </w:p>
        </w:tc>
        <w:tc>
          <w:tcPr>
            <w:tcW w:type="dxa" w:w="2160"/>
          </w:tcPr>
          <w:p>
            <w:r>
              <w:t>Limited partnerships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Nanomaterials</w:t>
            </w:r>
          </w:p>
        </w:tc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Research collaboration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University Ecosystem Risk Assessment</w:t>
      </w:r>
    </w:p>
    <w:p>
      <w:pPr>
        <w:pStyle w:val="Heading3"/>
      </w:pPr>
      <w:r>
        <w:t>Politecnico di Milano - Critical Node</w:t>
      </w:r>
    </w:p>
    <w:p>
      <w:r/>
      <w:r>
        <w:rPr>
          <w:b/>
        </w:rPr>
        <w:t>Strengths:</w:t>
      </w:r>
      <w:r>
        <w:t xml:space="preserve"> Engineering, space systems, AI</w:t>
      </w:r>
    </w:p>
    <w:p>
      <w:r/>
      <w:r>
        <w:rPr>
          <w:b/>
        </w:rPr>
        <w:t>Defense Relevance:</w:t>
      </w:r>
      <w:r>
        <w:t xml:space="preserve">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China Connection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Student Exchanges</w:t>
            </w:r>
          </w:p>
        </w:tc>
        <w:tc>
          <w:tcPr>
            <w:tcW w:type="dxa" w:w="2880"/>
          </w:tcPr>
          <w:p>
            <w:r>
              <w:t>Active with Tsinghua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Chinese Students</w:t>
            </w:r>
          </w:p>
        </w:tc>
        <w:tc>
          <w:tcPr>
            <w:tcW w:type="dxa" w:w="2880"/>
          </w:tcPr>
          <w:p>
            <w:r>
              <w:t>Significant number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Chinese Faculty</w:t>
            </w:r>
          </w:p>
        </w:tc>
        <w:tc>
          <w:tcPr>
            <w:tcW w:type="dxa" w:w="2880"/>
          </w:tcPr>
          <w:p>
            <w:r>
              <w:t>Unknown quantity</w:t>
            </w:r>
          </w:p>
        </w:tc>
        <w:tc>
          <w:tcPr>
            <w:tcW w:type="dxa" w:w="2880"/>
          </w:tcPr>
          <w:p>
            <w:r>
              <w:t>CRITICAL GAP</w:t>
            </w:r>
          </w:p>
        </w:tc>
      </w:tr>
      <w:tr>
        <w:tc>
          <w:tcPr>
            <w:tcW w:type="dxa" w:w="2880"/>
          </w:tcPr>
          <w:p>
            <w:r>
              <w:t>US Collaborations</w:t>
            </w:r>
          </w:p>
        </w:tc>
        <w:tc>
          <w:tcPr>
            <w:tcW w:type="dxa" w:w="2880"/>
          </w:tcPr>
          <w:p>
            <w:r>
              <w:t>MIT, NASA</w:t>
            </w:r>
          </w:p>
        </w:tc>
        <w:tc>
          <w:tcPr>
            <w:tcW w:type="dxa" w:w="2880"/>
          </w:tcPr>
          <w:p>
            <w:r>
              <w:t>TRIANGLE RISK</w:t>
            </w:r>
          </w:p>
        </w:tc>
      </w:tr>
    </w:tbl>
    <w:p>
      <w:r/>
      <w:r>
        <w:rPr>
          <w:b/>
        </w:rPr>
        <w:t>Triangle Risk:</w:t>
      </w:r>
      <w:r>
        <w:t xml:space="preserve"> Chinese students/faculty access → Politecnico research → US collaborative data exposure</w:t>
      </w:r>
    </w:p>
    <w:p>
      <w:pPr>
        <w:pStyle w:val="Heading3"/>
      </w:pPr>
      <w:r>
        <w:t>Sapienza University Rome - Influence Operations Risk</w:t>
      </w:r>
    </w:p>
    <w:p>
      <w:r/>
      <w:r>
        <w:rPr>
          <w:b/>
        </w:rPr>
        <w:t>Key Concerns:</w:t>
      </w:r>
      <w:r/>
    </w:p>
    <w:p>
      <w:r>
        <w:t xml:space="preserve">- </w:t>
      </w:r>
      <w:r>
        <w:rPr>
          <w:b/>
        </w:rPr>
        <w:t>Confucius Institute:</w:t>
      </w:r>
      <w:r>
        <w:t xml:space="preserve"> Active since 2007, Beijing Language partnership</w:t>
      </w:r>
    </w:p>
    <w:p>
      <w:r>
        <w:t xml:space="preserve">- </w:t>
      </w:r>
      <w:r>
        <w:rPr>
          <w:b/>
        </w:rPr>
        <w:t>Chinese Students:</w:t>
      </w:r>
      <w:r>
        <w:t xml:space="preserve"> Large population</w:t>
      </w:r>
    </w:p>
    <w:p>
      <w:r>
        <w:t xml:space="preserve">- </w:t>
      </w:r>
      <w:r>
        <w:rPr>
          <w:b/>
        </w:rPr>
        <w:t>Research Areas:</w:t>
      </w:r>
      <w:r>
        <w:t xml:space="preserve"> Aerospace, cybersecurity, physics</w:t>
      </w:r>
    </w:p>
    <w:p>
      <w:r>
        <w:t xml:space="preserve">- </w:t>
      </w:r>
      <w:r>
        <w:rPr>
          <w:b/>
        </w:rPr>
        <w:t>Influence Operations:</w:t>
      </w:r>
      <w:r>
        <w:t xml:space="preserve"> Cultural/academic influence through Confucius Institute</w:t>
      </w:r>
    </w:p>
    <w:p>
      <w:pPr>
        <w:pStyle w:val="Heading1"/>
      </w:pPr>
      <w:r>
        <w:t>Technology Readiness Assessment</w:t>
      </w:r>
    </w:p>
    <w:p>
      <w:pPr>
        <w:pStyle w:val="Heading2"/>
      </w:pPr>
      <w:r>
        <w:t>Sector-by-Sector TRL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 Sector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TRL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Strategic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Interest</w:t>
            </w:r>
          </w:p>
        </w:tc>
      </w:tr>
      <w:tr>
        <w:tc>
          <w:tcPr>
            <w:tcW w:type="dxa" w:w="2160"/>
          </w:tcPr>
          <w:p>
            <w:r>
              <w:t>SiC Semiconductors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Space/EO Systems</w:t>
            </w:r>
          </w:p>
        </w:tc>
        <w:tc>
          <w:tcPr>
            <w:tcW w:type="dxa" w:w="2160"/>
          </w:tcPr>
          <w:p>
            <w:r>
              <w:t>6-9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HPC &amp; Quantum</w:t>
            </w:r>
          </w:p>
        </w:tc>
        <w:tc>
          <w:tcPr>
            <w:tcW w:type="dxa" w:w="2160"/>
          </w:tcPr>
          <w:p>
            <w:r>
              <w:t>6-9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Robotics &amp; AI</w:t>
            </w:r>
          </w:p>
        </w:tc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Naval Systems</w:t>
            </w:r>
          </w:p>
        </w:tc>
        <w:tc>
          <w:tcPr>
            <w:tcW w:type="dxa" w:w="2160"/>
          </w:tcPr>
          <w:p>
            <w:r>
              <w:t>8-9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Critical Technology Platforms</w:t>
      </w:r>
    </w:p>
    <w:p>
      <w:pPr>
        <w:pStyle w:val="Heading3"/>
      </w:pPr>
      <w:r>
        <w:t>SiC Semiconductors (STMicroelectronics)</w:t>
      </w:r>
    </w:p>
    <w:p>
      <w:r>
        <w:t xml:space="preserve">- </w:t>
      </w:r>
      <w:r>
        <w:rPr>
          <w:b/>
        </w:rPr>
        <w:t>Location:</w:t>
      </w:r>
      <w:r>
        <w:t xml:space="preserve"> Catania 200mm wafer line</w:t>
      </w:r>
    </w:p>
    <w:p>
      <w:r>
        <w:t xml:space="preserve">- </w:t>
      </w:r>
      <w:r>
        <w:rPr>
          <w:b/>
        </w:rPr>
        <w:t>Applications:</w:t>
      </w:r>
      <w:r>
        <w:t xml:space="preserve"> EV inverters, aerospace power, radar, naval propulsion</w:t>
      </w:r>
    </w:p>
    <w:p>
      <w:r>
        <w:t xml:space="preserve">- </w:t>
      </w:r>
      <w:r>
        <w:rPr>
          <w:b/>
        </w:rPr>
        <w:t>Strategic Risk:</w:t>
      </w:r>
      <w:r>
        <w:t xml:space="preserve"> Single point of failure for EU Chips Act</w:t>
      </w:r>
    </w:p>
    <w:p>
      <w:r>
        <w:t xml:space="preserve">- </w:t>
      </w:r>
      <w:r>
        <w:rPr>
          <w:b/>
        </w:rPr>
        <w:t>China Gap:</w:t>
      </w:r>
      <w:r>
        <w:t xml:space="preserve"> 3-5 years behind Italian capabilities</w:t>
      </w:r>
    </w:p>
    <w:p>
      <w:pPr>
        <w:pStyle w:val="Heading3"/>
      </w:pPr>
      <w:r>
        <w:t>Space/Earth Observation</w:t>
      </w:r>
    </w:p>
    <w:p>
      <w:r>
        <w:t xml:space="preserve">- </w:t>
      </w:r>
      <w:r>
        <w:rPr>
          <w:b/>
        </w:rPr>
        <w:t>Key Assets:</w:t>
      </w:r>
      <w:r>
        <w:t xml:space="preserve"> COSMO-SkyMed, IRIDE constellations</w:t>
      </w:r>
    </w:p>
    <w:p>
      <w:r>
        <w:t xml:space="preserve">- </w:t>
      </w:r>
      <w:r>
        <w:rPr>
          <w:b/>
        </w:rPr>
        <w:t>Commercial Players:</w:t>
      </w:r>
      <w:r>
        <w:t xml:space="preserve"> e-GEOS, D-Orbit, Telespazio</w:t>
      </w:r>
    </w:p>
    <w:p>
      <w:r>
        <w:t xml:space="preserve">- </w:t>
      </w:r>
      <w:r>
        <w:rPr>
          <w:b/>
        </w:rPr>
        <w:t>Exposure Vector:</w:t>
      </w:r>
      <w:r>
        <w:t xml:space="preserve"> Conference MoUs, ground station collaborations</w:t>
      </w:r>
    </w:p>
    <w:p>
      <w:r>
        <w:t xml:space="preserve">- </w:t>
      </w:r>
      <w:r>
        <w:rPr>
          <w:b/>
        </w:rPr>
        <w:t>Oversight Gap:</w:t>
      </w:r>
      <w:r>
        <w:t xml:space="preserve"> Fragmented data sharing policies</w:t>
      </w:r>
    </w:p>
    <w:p>
      <w:pPr>
        <w:pStyle w:val="Heading1"/>
      </w:pPr>
      <w:r>
        <w:t>Conference Intelligence Analysis</w:t>
      </w:r>
    </w:p>
    <w:p>
      <w:pPr>
        <w:pStyle w:val="Heading2"/>
      </w:pPr>
      <w:r>
        <w:t>High-Risk Technology Transfer 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Italian Participation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Chinese Presence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160"/>
          </w:tcPr>
          <w:p>
            <w:r>
              <w:t>SEMICON Europa</w:t>
            </w:r>
          </w:p>
        </w:tc>
        <w:tc>
          <w:tcPr>
            <w:tcW w:type="dxa" w:w="2160"/>
          </w:tcPr>
          <w:p>
            <w:r>
              <w:t>STMicroelectronics</w:t>
            </w:r>
          </w:p>
        </w:tc>
        <w:tc>
          <w:tcPr>
            <w:tcW w:type="dxa" w:w="2160"/>
          </w:tcPr>
          <w:p>
            <w:r>
              <w:t>PRC fabs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Q2B/EQTC</w:t>
            </w:r>
          </w:p>
        </w:tc>
        <w:tc>
          <w:tcPr>
            <w:tcW w:type="dxa" w:w="2160"/>
          </w:tcPr>
          <w:p>
            <w:r>
              <w:t>CINECA quantum</w:t>
            </w:r>
          </w:p>
        </w:tc>
        <w:tc>
          <w:tcPr>
            <w:tcW w:type="dxa" w:w="2160"/>
          </w:tcPr>
          <w:p>
            <w:r>
              <w:t>PRC research teams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ICRA/IROS</w:t>
            </w:r>
          </w:p>
        </w:tc>
        <w:tc>
          <w:tcPr>
            <w:tcW w:type="dxa" w:w="2160"/>
          </w:tcPr>
          <w:p>
            <w:r>
              <w:t>IIT robotics</w:t>
            </w:r>
          </w:p>
        </w:tc>
        <w:tc>
          <w:tcPr>
            <w:tcW w:type="dxa" w:w="2160"/>
          </w:tcPr>
          <w:p>
            <w:r>
              <w:t>Joint publications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IAC</w:t>
            </w:r>
          </w:p>
        </w:tc>
        <w:tc>
          <w:tcPr>
            <w:tcW w:type="dxa" w:w="2160"/>
          </w:tcPr>
          <w:p>
            <w:r>
              <w:t>ASI/space sector</w:t>
            </w:r>
          </w:p>
        </w:tc>
        <w:tc>
          <w:tcPr>
            <w:tcW w:type="dxa" w:w="2160"/>
          </w:tcPr>
          <w:p>
            <w:r>
              <w:t>MoU signings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</w:tr>
      <w:tr>
        <w:tc>
          <w:tcPr>
            <w:tcW w:type="dxa" w:w="2160"/>
          </w:tcPr>
          <w:p>
            <w:r>
              <w:t>DSEI/Eurosatory</w:t>
            </w:r>
          </w:p>
        </w:tc>
        <w:tc>
          <w:tcPr>
            <w:tcW w:type="dxa" w:w="2160"/>
          </w:tcPr>
          <w:p>
            <w:r>
              <w:t>Fincantieri/defense</w:t>
            </w:r>
          </w:p>
        </w:tc>
        <w:tc>
          <w:tcPr>
            <w:tcW w:type="dxa" w:w="2160"/>
          </w:tcPr>
          <w:p>
            <w:r>
              <w:t>PRC SOE observers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2"/>
      </w:pPr>
      <w:r>
        <w:t>Technology Transfer Pathways</w:t>
      </w:r>
    </w:p>
    <w:p>
      <w:r>
        <w:t xml:space="preserve">1. </w:t>
      </w:r>
      <w:r>
        <w:rPr>
          <w:b/>
        </w:rPr>
        <w:t>Conference Networking:</w:t>
      </w:r>
      <w:r>
        <w:t xml:space="preserve"> Direct contact at technical sessions</w:t>
      </w:r>
    </w:p>
    <w:p>
      <w:r>
        <w:t xml:space="preserve">2. </w:t>
      </w:r>
      <w:r>
        <w:rPr>
          <w:b/>
        </w:rPr>
        <w:t>MoU Signings:</w:t>
      </w:r>
      <w:r>
        <w:t xml:space="preserve"> Adjacent to conference events, poorly tracked</w:t>
      </w:r>
    </w:p>
    <w:p>
      <w:r>
        <w:t xml:space="preserve">3. </w:t>
      </w:r>
      <w:r>
        <w:rPr>
          <w:b/>
        </w:rPr>
        <w:t>Joint Publications:</w:t>
      </w:r>
      <w:r>
        <w:t xml:space="preserve"> Academic collaboration leading to knowledge transfer</w:t>
      </w:r>
    </w:p>
    <w:p>
      <w:r>
        <w:t xml:space="preserve">4. </w:t>
      </w:r>
      <w:r>
        <w:rPr>
          <w:b/>
        </w:rPr>
        <w:t>Supply Chain Exposure:</w:t>
      </w:r>
      <w:r>
        <w:t xml:space="preserve"> Post-conference business relationships</w:t>
      </w:r>
    </w:p>
    <w:p>
      <w:pPr>
        <w:pStyle w:val="Heading1"/>
      </w:pPr>
      <w:r>
        <w:t>Critical Gaps and Vulnerabilities</w:t>
      </w:r>
    </w:p>
    <w:p>
      <w:pPr>
        <w:pStyle w:val="Heading2"/>
      </w:pPr>
      <w:r>
        <w:t>Data Collection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 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Level</w:t>
            </w:r>
          </w:p>
        </w:tc>
      </w:tr>
      <w:tr>
        <w:tc>
          <w:tcPr>
            <w:tcW w:type="dxa" w:w="2880"/>
          </w:tcPr>
          <w:p>
            <w:r>
              <w:t>Personnel Tracking</w:t>
            </w:r>
          </w:p>
        </w:tc>
        <w:tc>
          <w:tcPr>
            <w:tcW w:type="dxa" w:w="2880"/>
          </w:tcPr>
          <w:p>
            <w:r>
              <w:t>No count of Chinese researchers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MoU Registry</w:t>
            </w:r>
          </w:p>
        </w:tc>
        <w:tc>
          <w:tcPr>
            <w:tcW w:type="dxa" w:w="2880"/>
          </w:tcPr>
          <w:p>
            <w:r>
              <w:t>No centralized international agreement tracking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Conference Security</w:t>
            </w:r>
          </w:p>
        </w:tc>
        <w:tc>
          <w:tcPr>
            <w:tcW w:type="dxa" w:w="2880"/>
          </w:tcPr>
          <w:p>
            <w:r>
              <w:t>No systematic foreign participation monitoring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Supply Chain Flows</w:t>
            </w:r>
          </w:p>
        </w:tc>
        <w:tc>
          <w:tcPr>
            <w:tcW w:type="dxa" w:w="2880"/>
          </w:tcPr>
          <w:p>
            <w:r>
              <w:t>Limited visibility post-EU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Institutional Oversight Weaknesses</w:t>
      </w:r>
    </w:p>
    <w:p>
      <w:r>
        <w:t xml:space="preserve">1. </w:t>
      </w:r>
      <w:r>
        <w:rPr>
          <w:b/>
        </w:rPr>
        <w:t>Research Vetting:</w:t>
      </w:r>
      <w:r>
        <w:t xml:space="preserve"> Inadequate screening for dual-use domains</w:t>
      </w:r>
    </w:p>
    <w:p>
      <w:r>
        <w:t xml:space="preserve">2. </w:t>
      </w:r>
      <w:r>
        <w:rPr>
          <w:b/>
        </w:rPr>
        <w:t>Technology Transfer:</w:t>
      </w:r>
      <w:r>
        <w:t xml:space="preserve"> Limited monitoring of knowledge flows</w:t>
      </w:r>
    </w:p>
    <w:p>
      <w:r>
        <w:t xml:space="preserve">3. </w:t>
      </w:r>
      <w:r>
        <w:rPr>
          <w:b/>
        </w:rPr>
        <w:t>Export Controls:</w:t>
      </w:r>
      <w:r>
        <w:t xml:space="preserve"> Weak enforcement for intangible transfers</w:t>
      </w:r>
    </w:p>
    <w:p>
      <w:r>
        <w:t xml:space="preserve">4. </w:t>
      </w:r>
      <w:r>
        <w:rPr>
          <w:b/>
        </w:rPr>
        <w:t>Spin-out Oversight:</w:t>
      </w:r>
      <w:r>
        <w:t xml:space="preserve"> Venture financing rarely flags Chinese involvement</w:t>
      </w:r>
    </w:p>
    <w:p>
      <w:pPr>
        <w:pStyle w:val="Heading1"/>
      </w:pPr>
      <w:r>
        <w:t>Strategic Value to China Assessment</w:t>
      </w:r>
    </w:p>
    <w:p>
      <w:pPr>
        <w:pStyle w:val="Heading2"/>
      </w:pPr>
      <w:r>
        <w:t>Leapfrog Potential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Chinese Capability 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Leapfrog Potential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 Acceleration</w:t>
            </w:r>
          </w:p>
        </w:tc>
      </w:tr>
      <w:tr>
        <w:tc>
          <w:tcPr>
            <w:tcW w:type="dxa" w:w="2160"/>
          </w:tcPr>
          <w:p>
            <w:r>
              <w:t>SiC Semiconductors</w:t>
            </w:r>
          </w:p>
        </w:tc>
        <w:tc>
          <w:tcPr>
            <w:tcW w:type="dxa" w:w="2160"/>
          </w:tcPr>
          <w:p>
            <w:r>
              <w:t>3-5 years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2-3 years saved</w:t>
            </w:r>
          </w:p>
        </w:tc>
      </w:tr>
      <w:tr>
        <w:tc>
          <w:tcPr>
            <w:tcW w:type="dxa" w:w="2160"/>
          </w:tcPr>
          <w:p>
            <w:r>
              <w:t>Quantum Computing</w:t>
            </w:r>
          </w:p>
        </w:tc>
        <w:tc>
          <w:tcPr>
            <w:tcW w:type="dxa" w:w="2160"/>
          </w:tcPr>
          <w:p>
            <w:r>
              <w:t>Coherence/control systems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2-3 years</w:t>
            </w:r>
          </w:p>
        </w:tc>
      </w:tr>
      <w:tr>
        <w:tc>
          <w:tcPr>
            <w:tcW w:type="dxa" w:w="2160"/>
          </w:tcPr>
          <w:p>
            <w:r>
              <w:t>Robotics Algorithms</w:t>
            </w:r>
          </w:p>
        </w:tc>
        <w:tc>
          <w:tcPr>
            <w:tcW w:type="dxa" w:w="2160"/>
          </w:tcPr>
          <w:p>
            <w:r>
              <w:t>Human-robot interaction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1-2 years</w:t>
            </w:r>
          </w:p>
        </w:tc>
      </w:tr>
      <w:tr>
        <w:tc>
          <w:tcPr>
            <w:tcW w:type="dxa" w:w="2160"/>
          </w:tcPr>
          <w:p>
            <w:r>
              <w:t>EO/SAR Systems</w:t>
            </w:r>
          </w:p>
        </w:tc>
        <w:tc>
          <w:tcPr>
            <w:tcW w:type="dxa" w:w="2160"/>
          </w:tcPr>
          <w:p>
            <w:r>
              <w:t>Maritime calibration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2-4 years</w:t>
            </w:r>
          </w:p>
        </w:tc>
      </w:tr>
    </w:tbl>
    <w:p>
      <w:pPr>
        <w:pStyle w:val="Heading2"/>
      </w:pPr>
      <w:r>
        <w:t>Strategic Value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 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 Value (10)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 Value (5)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Medium Value (2)</w:t>
            </w:r>
          </w:p>
        </w:tc>
      </w:tr>
      <w:tr>
        <w:tc>
          <w:tcPr>
            <w:tcW w:type="dxa" w:w="2160"/>
          </w:tcPr>
          <w:p>
            <w:r>
              <w:t>SiC Semiconductors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EO Constellations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Quantum Prototypes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Robotics Algorithms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Naval Systems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Risk Assessment Summary</w:t>
      </w:r>
    </w:p>
    <w:p>
      <w:pPr>
        <w:pStyle w:val="Heading2"/>
      </w:pPr>
      <w:r>
        <w:t>Triangle Risk Analysis</w:t>
      </w:r>
    </w:p>
    <w:p>
      <w:r/>
      <w:r>
        <w:rPr>
          <w:b/>
        </w:rPr>
        <w:t>Highest Risk Entities:</w:t>
      </w:r>
      <w:r/>
    </w:p>
    <w:p>
      <w:r>
        <w:t xml:space="preserve">1. </w:t>
      </w:r>
      <w:r>
        <w:rPr>
          <w:b/>
        </w:rPr>
        <w:t>Leonardo:</w:t>
      </w:r>
      <w:r>
        <w:t xml:space="preserve"> US classified tech → Italian operations → China subsidiary exposure</w:t>
      </w:r>
    </w:p>
    <w:p>
      <w:r>
        <w:t xml:space="preserve">2. </w:t>
      </w:r>
      <w:r>
        <w:rPr>
          <w:b/>
        </w:rPr>
        <w:t>Politecnico Milano:</w:t>
      </w:r>
      <w:r>
        <w:t xml:space="preserve"> Chinese students → Research access → US collaborative data</w:t>
      </w:r>
    </w:p>
    <w:p>
      <w:r>
        <w:t xml:space="preserve">3. </w:t>
      </w:r>
      <w:r>
        <w:rPr>
          <w:b/>
        </w:rPr>
        <w:t>CNR:</w:t>
      </w:r>
      <w:r>
        <w:t xml:space="preserve"> Chinese researchers → Italian innovations → US collaboration exposure</w:t>
      </w:r>
    </w:p>
    <w:p>
      <w:pPr>
        <w:pStyle w:val="Heading2"/>
      </w:pPr>
      <w:r>
        <w:t>Early Warning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t>Leonardo China Contracts</w:t>
            </w:r>
          </w:p>
        </w:tc>
        <w:tc>
          <w:tcPr>
            <w:tcW w:type="dxa" w:w="2880"/>
          </w:tcPr>
          <w:p>
            <w:r>
              <w:t>€50M+ annually</w:t>
            </w:r>
          </w:p>
        </w:tc>
        <w:tc>
          <w:tcPr>
            <w:tcW w:type="dxa" w:w="2880"/>
          </w:tcPr>
          <w:p>
            <w:r>
              <w:t>&gt;€75M</w:t>
            </w:r>
          </w:p>
        </w:tc>
      </w:tr>
      <w:tr>
        <w:tc>
          <w:tcPr>
            <w:tcW w:type="dxa" w:w="2880"/>
          </w:tcPr>
          <w:p>
            <w:r>
              <w:t>Chinese Researcher Presence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&gt;500 researchers</w:t>
            </w:r>
          </w:p>
        </w:tc>
      </w:tr>
      <w:tr>
        <w:tc>
          <w:tcPr>
            <w:tcW w:type="dxa" w:w="2880"/>
          </w:tcPr>
          <w:p>
            <w:r>
              <w:t>Conference MoUs</w:t>
            </w:r>
          </w:p>
        </w:tc>
        <w:tc>
          <w:tcPr>
            <w:tcW w:type="dxa" w:w="2880"/>
          </w:tcPr>
          <w:p>
            <w:r>
              <w:t>Untracked</w:t>
            </w:r>
          </w:p>
        </w:tc>
        <w:tc>
          <w:tcPr>
            <w:tcW w:type="dxa" w:w="2880"/>
          </w:tcPr>
          <w:p>
            <w:r>
              <w:t>&gt;10 per year</w:t>
            </w:r>
          </w:p>
        </w:tc>
      </w:tr>
      <w:tr>
        <w:tc>
          <w:tcPr>
            <w:tcW w:type="dxa" w:w="2880"/>
          </w:tcPr>
          <w:p>
            <w:r>
              <w:t>Patent Co-assignments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&gt;50 per year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Heading2"/>
      </w:pPr>
      <w:r>
        <w:t>Immediate Actions (0-6 months)</w:t>
      </w:r>
    </w:p>
    <w:p>
      <w:r>
        <w:t xml:space="preserve">1. </w:t>
      </w:r>
      <w:r>
        <w:rPr>
          <w:b/>
        </w:rPr>
        <w:t>Establish MoU Registry:</w:t>
      </w:r>
      <w:r>
        <w:t xml:space="preserve"> Centralized tracking of all international technology agreements</w:t>
      </w:r>
    </w:p>
    <w:p>
      <w:r>
        <w:t xml:space="preserve">2. </w:t>
      </w:r>
      <w:r>
        <w:rPr>
          <w:b/>
        </w:rPr>
        <w:t>Deploy Conference Monitoring:</w:t>
      </w:r>
      <w:r>
        <w:t xml:space="preserve"> Real-time intelligence collection at Tier-1 events</w:t>
      </w:r>
    </w:p>
    <w:p>
      <w:r>
        <w:t xml:space="preserve">3. </w:t>
      </w:r>
      <w:r>
        <w:rPr>
          <w:b/>
        </w:rPr>
        <w:t>Chinese Researcher Census:</w:t>
      </w:r>
      <w:r>
        <w:t xml:space="preserve"> Quantify presence across all institutions</w:t>
      </w:r>
    </w:p>
    <w:p>
      <w:r>
        <w:t xml:space="preserve">4. </w:t>
      </w:r>
      <w:r>
        <w:rPr>
          <w:b/>
        </w:rPr>
        <w:t>Leonardo Triangle Assessment:</w:t>
      </w:r>
      <w:r>
        <w:t xml:space="preserve"> Comprehensive review of US-Italy-China technology flows</w:t>
      </w:r>
    </w:p>
    <w:p>
      <w:pPr>
        <w:pStyle w:val="Heading2"/>
      </w:pPr>
      <w:r>
        <w:t>System Improvements (6-18 months)</w:t>
      </w:r>
    </w:p>
    <w:p>
      <w:r>
        <w:t xml:space="preserve">1. </w:t>
      </w:r>
      <w:r>
        <w:rPr>
          <w:b/>
        </w:rPr>
        <w:t>Research Compartmentalization:</w:t>
      </w:r>
      <w:r>
        <w:t xml:space="preserve"> Separate sensitive and open research domains</w:t>
      </w:r>
    </w:p>
    <w:p>
      <w:r>
        <w:t xml:space="preserve">2. </w:t>
      </w:r>
      <w:r>
        <w:rPr>
          <w:b/>
        </w:rPr>
        <w:t>Enhanced Vetting Procedures:</w:t>
      </w:r>
      <w:r>
        <w:t xml:space="preserve"> Strengthen visiting scholar screening</w:t>
      </w:r>
    </w:p>
    <w:p>
      <w:r>
        <w:t xml:space="preserve">3. </w:t>
      </w:r>
      <w:r>
        <w:rPr>
          <w:b/>
        </w:rPr>
        <w:t>Supply Chain Mapping:</w:t>
      </w:r>
      <w:r>
        <w:t xml:space="preserve"> Complete Tier-2/3 visibility for critical technologies</w:t>
      </w:r>
    </w:p>
    <w:p>
      <w:r>
        <w:t xml:space="preserve">4. </w:t>
      </w:r>
      <w:r>
        <w:rPr>
          <w:b/>
        </w:rPr>
        <w:t>Export Control Enforcement:</w:t>
      </w:r>
      <w:r>
        <w:t xml:space="preserve"> Strengthen intangible technology transfer monitoring</w:t>
      </w:r>
    </w:p>
    <w:p>
      <w:pPr>
        <w:pStyle w:val="Heading2"/>
      </w:pPr>
      <w:r>
        <w:t>Policy Recommendations (12-24 months)</w:t>
      </w:r>
    </w:p>
    <w:p>
      <w:r>
        <w:t xml:space="preserve">1. </w:t>
      </w:r>
      <w:r>
        <w:rPr>
          <w:b/>
        </w:rPr>
        <w:t>Mandatory Disclosure:</w:t>
      </w:r>
      <w:r>
        <w:t xml:space="preserve"> Require reporting of conference-linked partnerships</w:t>
      </w:r>
    </w:p>
    <w:p>
      <w:r>
        <w:t xml:space="preserve">2. </w:t>
      </w:r>
      <w:r>
        <w:rPr>
          <w:b/>
        </w:rPr>
        <w:t>Technology Security Reviews:</w:t>
      </w:r>
      <w:r>
        <w:t xml:space="preserve"> Regular assessment of institutional China exposure</w:t>
      </w:r>
    </w:p>
    <w:p>
      <w:r>
        <w:t xml:space="preserve">3. </w:t>
      </w:r>
      <w:r>
        <w:rPr>
          <w:b/>
        </w:rPr>
        <w:t>National Security Integration:</w:t>
      </w:r>
      <w:r>
        <w:t xml:space="preserve"> Coordinate civilian research with defense requirements</w:t>
      </w:r>
    </w:p>
    <w:p>
      <w:r>
        <w:t xml:space="preserve">4. </w:t>
      </w:r>
      <w:r>
        <w:rPr>
          <w:b/>
        </w:rPr>
        <w:t>EU Coordination:</w:t>
      </w:r>
      <w:r>
        <w:t xml:space="preserve"> Align Italian policies with broader European technology security</w:t>
      </w:r>
    </w:p>
    <w:p>
      <w:pPr>
        <w:pStyle w:val="Heading1"/>
      </w:pPr>
      <w:r>
        <w:t>Quality Assessment</w:t>
      </w:r>
    </w:p>
    <w:p>
      <w:pPr>
        <w:pStyle w:val="Heading2"/>
      </w:pPr>
      <w:r>
        <w:t>Strengths</w:t>
      </w:r>
    </w:p>
    <w:p>
      <w:pPr>
        <w:pStyle w:val="ListBullet"/>
      </w:pPr>
      <w:r>
        <w:t>Comprehensive institutional mapping</w:t>
      </w:r>
    </w:p>
    <w:p>
      <w:pPr>
        <w:pStyle w:val="ListBullet"/>
      </w:pPr>
      <w:r>
        <w:t>Clear triangle risk identification</w:t>
      </w:r>
    </w:p>
    <w:p>
      <w:pPr>
        <w:pStyle w:val="ListBullet"/>
      </w:pPr>
      <w:r>
        <w:t>Technology-specific threat assessment</w:t>
      </w:r>
    </w:p>
    <w:p>
      <w:pPr>
        <w:pStyle w:val="ListBullet"/>
      </w:pPr>
      <w:r>
        <w:t>Conference intelligence integration</w:t>
      </w:r>
    </w:p>
    <w:p>
      <w:pPr>
        <w:pStyle w:val="Heading2"/>
      </w:pPr>
      <w:r>
        <w:t>Weaknesses</w:t>
      </w:r>
    </w:p>
    <w:p>
      <w:pPr>
        <w:pStyle w:val="ListBullet"/>
      </w:pPr>
      <w:r>
        <w:t>Limited quantitative data on Chinese presence</w:t>
      </w:r>
    </w:p>
    <w:p>
      <w:pPr>
        <w:pStyle w:val="ListBullet"/>
      </w:pPr>
      <w:r>
        <w:t>Incomplete supply chain visibility</w:t>
      </w:r>
    </w:p>
    <w:p>
      <w:pPr>
        <w:pStyle w:val="ListBullet"/>
      </w:pPr>
      <w:r>
        <w:t>Weak negative evidence documentation</w:t>
      </w:r>
    </w:p>
    <w:p>
      <w:pPr>
        <w:pStyle w:val="ListBullet"/>
      </w:pPr>
      <w:r>
        <w:t>Missing CAGE/NCAGE code integration</w:t>
      </w:r>
    </w:p>
    <w:p>
      <w:pPr>
        <w:pStyle w:val="Heading2"/>
      </w:pPr>
      <w:r>
        <w:t>Confidence Levels</w:t>
      </w:r>
    </w:p>
    <w:p>
      <w:r>
        <w:t xml:space="preserve">- </w:t>
      </w:r>
      <w:r>
        <w:rPr>
          <w:b/>
        </w:rPr>
        <w:t>Defense Prime Analysis:</w:t>
      </w:r>
      <w:r>
        <w:t xml:space="preserve"> HIGH (public financial data)</w:t>
      </w:r>
    </w:p>
    <w:p>
      <w:r>
        <w:t xml:space="preserve">- </w:t>
      </w:r>
      <w:r>
        <w:rPr>
          <w:b/>
        </w:rPr>
        <w:t>Research Institution Assessment:</w:t>
      </w:r>
      <w:r>
        <w:t xml:space="preserve"> MEDIUM-HIGH (some data gaps)</w:t>
      </w:r>
    </w:p>
    <w:p>
      <w:r>
        <w:t xml:space="preserve">- </w:t>
      </w:r>
      <w:r>
        <w:rPr>
          <w:b/>
        </w:rPr>
        <w:t>University Risk Evaluation:</w:t>
      </w:r>
      <w:r>
        <w:t xml:space="preserve"> MEDIUM (significant unknowns)</w:t>
      </w:r>
    </w:p>
    <w:p>
      <w:r>
        <w:t xml:space="preserve">- </w:t>
      </w:r>
      <w:r>
        <w:rPr>
          <w:b/>
        </w:rPr>
        <w:t>China Exposure Metrics:</w:t>
      </w:r>
      <w:r>
        <w:t xml:space="preserve"> LOW (critical data gaps)</w:t>
      </w:r>
    </w:p>
    <w:p>
      <w:pPr>
        <w:pStyle w:val="Heading1"/>
      </w:pPr>
      <w:r>
        <w:t>Framework Compliance</w:t>
      </w:r>
    </w:p>
    <w:p>
      <w:pPr>
        <w:pStyle w:val="Heading2"/>
      </w:pPr>
      <w:r>
        <w:t>ChatGPT v6 Requirements</w:t>
      </w:r>
    </w:p>
    <w:p>
      <w:r>
        <w:t>✓ Institutional landscape mapping complete</w:t>
      </w:r>
    </w:p>
    <w:p>
      <w:r>
        <w:t>✓ Technology readiness levels specified</w:t>
      </w:r>
    </w:p>
    <w:p>
      <w:r>
        <w:t>✓ China overlap analysis conducted</w:t>
      </w:r>
    </w:p>
    <w:p>
      <w:r>
        <w:t>✓ Strategic value assessment provided</w:t>
      </w:r>
    </w:p>
    <w:p>
      <w:r>
        <w:t>✓ Conference exposure documented</w:t>
      </w:r>
    </w:p>
    <w:p>
      <w:pPr>
        <w:pStyle w:val="Heading2"/>
      </w:pPr>
      <w:r>
        <w:t>Claude Enhancements</w:t>
      </w:r>
    </w:p>
    <w:p>
      <w:r>
        <w:t>✓ Triangle risk analysis integrated</w:t>
      </w:r>
    </w:p>
    <w:p>
      <w:r>
        <w:t>✓ Conference intelligence emphasized</w:t>
      </w:r>
    </w:p>
    <w:p>
      <w:r>
        <w:t>✓ Supply chain vulnerability focus</w:t>
      </w:r>
    </w:p>
    <w:p>
      <w:r>
        <w:t>✓ Quantitative gap identification</w:t>
      </w:r>
    </w:p>
    <w:p>
      <w:r>
        <w:t>✓ Early warning indicators established</w:t>
      </w:r>
    </w:p>
    <w:p>
      <w:pPr>
        <w:pStyle w:val="Heading1"/>
      </w:pPr>
      <w:r>
        <w:t>Conclusion</w:t>
      </w:r>
    </w:p>
    <w:p>
      <w:r>
        <w:t>Italy's institutional landscape presents a paradox: world-class capabilities in critical technologies coupled with significant exposure to Chinese technology acquisition efforts. The "triangle risk" through entities like Leonardo, combined with extensive conference-based networking and weak oversight of international collaborations, creates multiple pathways for sensitive technology transfer.</w:t>
      </w:r>
    </w:p>
    <w:p>
      <w:r/>
      <w:r>
        <w:rPr>
          <w:b/>
        </w:rPr>
        <w:t>Priority Actions:</w:t>
      </w:r>
      <w:r/>
    </w:p>
    <w:p>
      <w:pPr>
        <w:pStyle w:val="ListNumber"/>
      </w:pPr>
      <w:r>
        <w:t>Immediate Chinese researcher census across all institutions</w:t>
      </w:r>
    </w:p>
    <w:p>
      <w:pPr>
        <w:pStyle w:val="ListNumber"/>
      </w:pPr>
      <w:r>
        <w:t>Leonardo triangle risk mitigation strategy</w:t>
      </w:r>
    </w:p>
    <w:p>
      <w:pPr>
        <w:pStyle w:val="ListNumber"/>
      </w:pPr>
      <w:r>
        <w:t>Conference monitoring deployment by Q2 2025</w:t>
      </w:r>
    </w:p>
    <w:p>
      <w:pPr>
        <w:pStyle w:val="ListNumber"/>
      </w:pPr>
      <w:r>
        <w:t>MoU registry establishment within 90 days</w:t>
      </w:r>
    </w:p>
    <w:p>
      <w:r>
        <w:t>The window for effective intervention is narrowing as China's technology acquisition efforts intensify and Italian institutions expand international collaborations without adequate security frameworks.</w:t>
      </w:r>
    </w:p>
    <w:p>
      <w:pPr>
        <w:pStyle w:val="ListBullet"/>
      </w:pPr>
    </w:p>
    <w:p>
      <w:pPr>
        <w:pStyle w:val="ListBullet"/>
      </w:pPr>
      <w:r>
        <w:t>Next Phase: Supply Chain Analysis (Phase 4)*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