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4: Supply Chain Analysis - Italy Technology Security Assessment</w:t>
      </w:r>
    </w:p>
    <w:p>
      <w:r/>
      <w:r>
        <w:rPr>
          <w:b/>
        </w:rPr>
        <w:t>Generated:</w:t>
      </w:r>
      <w:r>
        <w:t xml:space="preserve"> 2025-09-16</w:t>
      </w:r>
    </w:p>
    <w:p>
      <w:r/>
      <w:r>
        <w:rPr>
          <w:b/>
        </w:rPr>
        <w:t>Sources:</w:t>
      </w:r>
      <w:r>
        <w:t xml:space="preserve"> ChatGPT Phase Documents + Claude Analysis</w:t>
      </w:r>
    </w:p>
    <w:p>
      <w:r/>
      <w:r>
        <w:rPr>
          <w:b/>
        </w:rPr>
        <w:t>Classification:</w:t>
      </w:r>
      <w:r>
        <w:t xml:space="preserve"> OSINT Synthesis</w:t>
      </w:r>
    </w:p>
    <w:p>
      <w:pPr>
        <w:pStyle w:val="Heading1"/>
      </w:pPr>
      <w:r>
        <w:t>Executive Summary</w:t>
      </w:r>
    </w:p>
    <w:p>
      <w:r>
        <w:t>Phase 4 reveals Italy's critical technology supply chains as deeply vulnerable to Chinese exploitation through multiple vectors: direct dependencies (85% rare earth materials from China), indirect exposure (Chinese facilities processing Italian semiconductors), and complex multi-tier supplier networks that obscure Chinese involvement. The analysis identifies critical single points of failure and quantifies the strategic risks to NATO/EU technology security.</w:t>
      </w:r>
    </w:p>
    <w:p>
      <w:pPr>
        <w:pStyle w:val="Heading1"/>
      </w:pPr>
      <w:r>
        <w:t>Critical Supply Chain Dependencies</w:t>
      </w:r>
    </w:p>
    <w:p>
      <w:pPr>
        <w:pStyle w:val="Heading2"/>
      </w:pPr>
      <w:r>
        <w:t>Tier-1 Component Analysis</w:t>
      </w:r>
    </w:p>
    <w:p>
      <w:pPr>
        <w:pStyle w:val="Heading3"/>
      </w:pPr>
      <w:r>
        <w:t>Semiconductors - Critical Vulnerability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China Exposure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 Level</w:t>
            </w:r>
          </w:p>
        </w:tc>
      </w:tr>
      <w:tr>
        <w:tc>
          <w:tcPr>
            <w:tcW w:type="dxa" w:w="2160"/>
          </w:tcPr>
          <w:p>
            <w:r>
              <w:t>Advanced Logic (&lt;28nm)</w:t>
            </w:r>
          </w:p>
        </w:tc>
        <w:tc>
          <w:tcPr>
            <w:tcW w:type="dxa" w:w="2160"/>
          </w:tcPr>
          <w:p>
            <w:r>
              <w:t>No domestic capability</w:t>
            </w:r>
          </w:p>
        </w:tc>
        <w:tc>
          <w:tcPr>
            <w:tcW w:type="dxa" w:w="2160"/>
          </w:tcPr>
          <w:p>
            <w:r>
              <w:t>15% from China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Power Semiconductors</w:t>
            </w:r>
          </w:p>
        </w:tc>
        <w:tc>
          <w:tcPr>
            <w:tcW w:type="dxa" w:w="2160"/>
          </w:tcPr>
          <w:p>
            <w:r>
              <w:t>STMicroelectronics</w:t>
            </w:r>
          </w:p>
        </w:tc>
        <w:tc>
          <w:tcPr>
            <w:tcW w:type="dxa" w:w="2160"/>
          </w:tcPr>
          <w:p>
            <w:r>
              <w:t>Shenzhen packaging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SiC Substrates</w:t>
            </w:r>
          </w:p>
        </w:tc>
        <w:tc>
          <w:tcPr>
            <w:tcW w:type="dxa" w:w="2160"/>
          </w:tcPr>
          <w:p>
            <w:r>
              <w:t>Sweden/US suppliers</w:t>
            </w:r>
          </w:p>
        </w:tc>
        <w:tc>
          <w:tcPr>
            <w:tcW w:type="dxa" w:w="2160"/>
          </w:tcPr>
          <w:p>
            <w:r>
              <w:t>Chinese processing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Analog/Mixed Signal</w:t>
            </w:r>
          </w:p>
        </w:tc>
        <w:tc>
          <w:tcPr>
            <w:tcW w:type="dxa" w:w="2160"/>
          </w:tcPr>
          <w:p>
            <w:r>
              <w:t>Domestic capability</w:t>
            </w:r>
          </w:p>
        </w:tc>
        <w:tc>
          <w:tcPr>
            <w:tcW w:type="dxa" w:w="2160"/>
          </w:tcPr>
          <w:p>
            <w:r>
              <w:t>Component-level risk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r/>
      <w:r>
        <w:rPr>
          <w:b/>
        </w:rPr>
        <w:t>Critical Finding:</w:t>
      </w:r>
      <w:r>
        <w:t xml:space="preserve"> Italy imported €2.3B in semiconductors from China in 2023, with significant risk of backdoors in lower-tier chips processing sensitive data.</w:t>
      </w:r>
    </w:p>
    <w:p>
      <w:r/>
      <w:r>
        <w:rPr>
          <w:b/>
        </w:rPr>
        <w:t>Triangle Vulnerability:</w:t>
      </w:r>
      <w:r>
        <w:t xml:space="preserve"> Chinese chips integrated into Italian systems that process US collaborative data create direct intelligence exposure.</w:t>
      </w:r>
    </w:p>
    <w:p>
      <w:pPr>
        <w:pStyle w:val="Heading3"/>
      </w:pPr>
      <w:r>
        <w:t>Rare Earth Materials - Strategic Chokepoint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Material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China 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 Applications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 Status</w:t>
            </w:r>
          </w:p>
        </w:tc>
      </w:tr>
      <w:tr>
        <w:tc>
          <w:tcPr>
            <w:tcW w:type="dxa" w:w="2160"/>
          </w:tcPr>
          <w:p>
            <w:r>
              <w:t>Rare Earth Elements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Defense electronics, magnets, batteries</w:t>
            </w:r>
          </w:p>
        </w:tc>
        <w:tc>
          <w:tcPr>
            <w:tcW w:type="dxa" w:w="2160"/>
          </w:tcPr>
          <w:p>
            <w:r>
              <w:t>ERMA participation</w:t>
            </w:r>
          </w:p>
        </w:tc>
      </w:tr>
      <w:tr>
        <w:tc>
          <w:tcPr>
            <w:tcW w:type="dxa" w:w="2160"/>
          </w:tcPr>
          <w:p>
            <w:r>
              <w:t>NdFeB Magnets</w:t>
            </w:r>
          </w:p>
        </w:tc>
        <w:tc>
          <w:tcPr>
            <w:tcW w:type="dxa" w:w="2160"/>
          </w:tcPr>
          <w:p>
            <w:r>
              <w:t>87%</w:t>
            </w:r>
          </w:p>
        </w:tc>
        <w:tc>
          <w:tcPr>
            <w:tcW w:type="dxa" w:w="2160"/>
          </w:tcPr>
          <w:p>
            <w:r>
              <w:t>Naval propulsion, radar systems</w:t>
            </w:r>
          </w:p>
        </w:tc>
        <w:tc>
          <w:tcPr>
            <w:tcW w:type="dxa" w:w="2160"/>
          </w:tcPr>
          <w:p>
            <w:r>
              <w:t>Limited alternatives</w:t>
            </w:r>
          </w:p>
        </w:tc>
      </w:tr>
      <w:tr>
        <w:tc>
          <w:tcPr>
            <w:tcW w:type="dxa" w:w="2160"/>
          </w:tcPr>
          <w:p>
            <w:r>
              <w:t>Processing/Refinement</w:t>
            </w:r>
          </w:p>
        </w:tc>
        <w:tc>
          <w:tcPr>
            <w:tcW w:type="dxa" w:w="2160"/>
          </w:tcPr>
          <w:p>
            <w:r>
              <w:t>90%+</w:t>
            </w:r>
          </w:p>
        </w:tc>
        <w:tc>
          <w:tcPr>
            <w:tcW w:type="dxa" w:w="2160"/>
          </w:tcPr>
          <w:p>
            <w:r>
              <w:t>All rare earth applications</w:t>
            </w:r>
          </w:p>
        </w:tc>
        <w:tc>
          <w:tcPr>
            <w:tcW w:type="dxa" w:w="2160"/>
          </w:tcPr>
          <w:p>
            <w:r>
              <w:t>Minimal EU capacity</w:t>
            </w:r>
          </w:p>
        </w:tc>
      </w:tr>
    </w:tbl>
    <w:p>
      <w:r/>
      <w:r>
        <w:rPr>
          <w:b/>
        </w:rPr>
        <w:t>Strategic Impact:</w:t>
      </w:r>
      <w:r>
        <w:t xml:space="preserve"> Leonardo defense electronics and Fincantieri magnetic systems critically dependent on Chinese rare earth supply chains.</w:t>
      </w:r>
    </w:p>
    <w:p>
      <w:r/>
      <w:r>
        <w:rPr>
          <w:b/>
        </w:rPr>
        <w:t>Alternative Assessment:</w:t>
      </w:r>
      <w:r>
        <w:t xml:space="preserve"> SmCo magnets available but with 30% performance loss, 24-month qualification timeline, and 3.5x cost increase.</w:t>
      </w:r>
    </w:p>
    <w:p>
      <w:pPr>
        <w:pStyle w:val="Heading2"/>
      </w:pPr>
      <w:r>
        <w:t>Supply Chain Mapping by Technology Sector</w:t>
      </w:r>
    </w:p>
    <w:p>
      <w:pPr>
        <w:pStyle w:val="Heading3"/>
      </w:pPr>
      <w:r>
        <w:t>STMicroelectronics (SiC Semiconductors) - Critical Node Analysis</w:t>
      </w:r>
    </w:p>
    <w:p>
      <w:r/>
      <w:r>
        <w:rPr>
          <w:b/>
        </w:rPr>
        <w:t>Supply Chain Flow:</w:t>
      </w:r>
      <w:r/>
    </w:p>
    <w:p>
      <w:r>
        <w:t xml:space="preserve">1. </w:t>
      </w:r>
      <w:r>
        <w:rPr>
          <w:b/>
        </w:rPr>
        <w:t>Substrates:</w:t>
      </w:r>
      <w:r>
        <w:t xml:space="preserve"> Norstel (Sweden), Coherent (US) → Single-source bottleneck</w:t>
      </w:r>
    </w:p>
    <w:p>
      <w:r>
        <w:t xml:space="preserve">2. </w:t>
      </w:r>
      <w:r>
        <w:rPr>
          <w:b/>
        </w:rPr>
        <w:t>Epitaxy:</w:t>
      </w:r>
      <w:r>
        <w:t xml:space="preserve"> ASM/LPE (Italy) → Domestic capability</w:t>
      </w:r>
    </w:p>
    <w:p>
      <w:r>
        <w:t xml:space="preserve">3. </w:t>
      </w:r>
      <w:r>
        <w:rPr>
          <w:b/>
        </w:rPr>
        <w:t>Back-end Processing:</w:t>
      </w:r>
      <w:r>
        <w:t xml:space="preserve"> Malta, Morocco, </w:t>
      </w:r>
      <w:r>
        <w:rPr>
          <w:b/>
        </w:rPr>
        <w:t>Shenzhen</w:t>
      </w:r>
      <w:r>
        <w:t xml:space="preserve"> → Chinese access point</w:t>
      </w:r>
    </w:p>
    <w:p>
      <w:r>
        <w:t xml:space="preserve">4. </w:t>
      </w:r>
      <w:r>
        <w:rPr>
          <w:b/>
        </w:rPr>
        <w:t>Final Integration:</w:t>
      </w:r>
      <w:r>
        <w:t xml:space="preserve"> European facilities</w:t>
      </w:r>
    </w:p>
    <w:p>
      <w:r/>
      <w:r>
        <w:rPr>
          <w:b/>
        </w:rPr>
        <w:t>Risk Assessment:</w:t>
      </w:r>
      <w:r/>
    </w:p>
    <w:p>
      <w:r>
        <w:t xml:space="preserve">- </w:t>
      </w:r>
      <w:r>
        <w:rPr>
          <w:b/>
        </w:rPr>
        <w:t>Vulnerability:</w:t>
      </w:r>
      <w:r>
        <w:t xml:space="preserve"> Shenzhen facility provides direct PRC physical access to packaged SiC devices</w:t>
      </w:r>
    </w:p>
    <w:p>
      <w:r>
        <w:t xml:space="preserve">- </w:t>
      </w:r>
      <w:r>
        <w:rPr>
          <w:b/>
        </w:rPr>
        <w:t>Strategic Impact:</w:t>
      </w:r>
      <w:r>
        <w:t xml:space="preserve"> If PRC secures back-end knowledge, could close 3-5 year technology gap to 2-3 years</w:t>
      </w:r>
    </w:p>
    <w:p>
      <w:r>
        <w:t xml:space="preserve">- </w:t>
      </w:r>
      <w:r>
        <w:rPr>
          <w:b/>
        </w:rPr>
        <w:t>NATO Exposure:</w:t>
      </w:r>
      <w:r>
        <w:t xml:space="preserve"> ST supplies SiC devices to EU defense primes and indirectly to US aerospace programs</w:t>
      </w:r>
    </w:p>
    <w:p>
      <w:pPr>
        <w:pStyle w:val="Heading3"/>
      </w:pPr>
      <w:r>
        <w:t>Space/Earth Observation Supply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Supplier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Backup Options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China Exposure</w:t>
            </w:r>
          </w:p>
        </w:tc>
      </w:tr>
      <w:tr>
        <w:tc>
          <w:tcPr>
            <w:tcW w:type="dxa" w:w="2160"/>
          </w:tcPr>
          <w:p>
            <w:r>
              <w:t>Satellite Buses</w:t>
            </w:r>
          </w:p>
        </w:tc>
        <w:tc>
          <w:tcPr>
            <w:tcW w:type="dxa" w:w="2160"/>
          </w:tcPr>
          <w:p>
            <w:r>
              <w:t>Thales Alenia Space (Franco-Italian)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Low direct</w:t>
            </w:r>
          </w:p>
        </w:tc>
      </w:tr>
      <w:tr>
        <w:tc>
          <w:tcPr>
            <w:tcW w:type="dxa" w:w="2160"/>
          </w:tcPr>
          <w:p>
            <w:r>
              <w:t>SAR Payloads</w:t>
            </w:r>
          </w:p>
        </w:tc>
        <w:tc>
          <w:tcPr>
            <w:tcW w:type="dxa" w:w="2160"/>
          </w:tcPr>
          <w:p>
            <w:r>
              <w:t>Leonardo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Conference MoUs</w:t>
            </w:r>
          </w:p>
        </w:tc>
      </w:tr>
      <w:tr>
        <w:tc>
          <w:tcPr>
            <w:tcW w:type="dxa" w:w="2160"/>
          </w:tcPr>
          <w:p>
            <w:r>
              <w:t>Ground Infrastructure</w:t>
            </w:r>
          </w:p>
        </w:tc>
        <w:tc>
          <w:tcPr>
            <w:tcW w:type="dxa" w:w="2160"/>
          </w:tcPr>
          <w:p>
            <w:r>
              <w:t>Fucino, Matera, Kiruna</w:t>
            </w:r>
          </w:p>
        </w:tc>
        <w:tc>
          <w:tcPr>
            <w:tcW w:type="dxa" w:w="2160"/>
          </w:tcPr>
          <w:p>
            <w:r>
              <w:t>Limited redundancy</w:t>
            </w:r>
          </w:p>
        </w:tc>
        <w:tc>
          <w:tcPr>
            <w:tcW w:type="dxa" w:w="2160"/>
          </w:tcPr>
          <w:p>
            <w:r>
              <w:t>Data routing risk</w:t>
            </w:r>
          </w:p>
        </w:tc>
      </w:tr>
      <w:tr>
        <w:tc>
          <w:tcPr>
            <w:tcW w:type="dxa" w:w="2160"/>
          </w:tcPr>
          <w:p>
            <w:r>
              <w:t>Launch Services</w:t>
            </w:r>
          </w:p>
        </w:tc>
        <w:tc>
          <w:tcPr>
            <w:tcW w:type="dxa" w:w="2160"/>
          </w:tcPr>
          <w:p>
            <w:r>
              <w:t>ESA/SpaceX</w:t>
            </w:r>
          </w:p>
        </w:tc>
        <w:tc>
          <w:tcPr>
            <w:tcW w:type="dxa" w:w="2160"/>
          </w:tcPr>
          <w:p>
            <w:r>
              <w:t>Diversified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>
      <w:r/>
      <w:r>
        <w:rPr>
          <w:b/>
        </w:rPr>
        <w:t>Conference Intelligence Risk:</w:t>
      </w:r>
      <w:r>
        <w:t xml:space="preserve"> IAC 2022-2023 saw PRC delegations sign side MoUs with unclear data-sharing implications.</w:t>
      </w:r>
    </w:p>
    <w:p>
      <w:pPr>
        <w:pStyle w:val="Heading3"/>
      </w:pPr>
      <w:r>
        <w:t>HPC/Quantum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Alternative</w:t>
            </w:r>
          </w:p>
        </w:tc>
      </w:tr>
      <w:tr>
        <w:tc>
          <w:tcPr>
            <w:tcW w:type="dxa" w:w="2160"/>
          </w:tcPr>
          <w:p>
            <w:r>
              <w:t>HPC Servers</w:t>
            </w:r>
          </w:p>
        </w:tc>
        <w:tc>
          <w:tcPr>
            <w:tcW w:type="dxa" w:w="2160"/>
          </w:tcPr>
          <w:p>
            <w:r>
              <w:t>Atos/BullSequana (France)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</w:tr>
      <w:tr>
        <w:tc>
          <w:tcPr>
            <w:tcW w:type="dxa" w:w="2160"/>
          </w:tcPr>
          <w:p>
            <w:r>
              <w:t>GPUs</w:t>
            </w:r>
          </w:p>
        </w:tc>
        <w:tc>
          <w:tcPr>
            <w:tcW w:type="dxa" w:w="2160"/>
          </w:tcPr>
          <w:p>
            <w:r>
              <w:t>NVIDIA (US)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AMD/Intel (-20-30% performance)</w:t>
            </w:r>
          </w:p>
        </w:tc>
      </w:tr>
      <w:tr>
        <w:tc>
          <w:tcPr>
            <w:tcW w:type="dxa" w:w="2160"/>
          </w:tcPr>
          <w:p>
            <w:r>
              <w:t>Quantum Chips</w:t>
            </w:r>
          </w:p>
        </w:tc>
        <w:tc>
          <w:tcPr>
            <w:tcW w:type="dxa" w:w="2160"/>
          </w:tcPr>
          <w:p>
            <w:r>
              <w:t>IQM (Finland)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Cryogenics</w:t>
            </w:r>
          </w:p>
        </w:tc>
        <w:tc>
          <w:tcPr>
            <w:tcW w:type="dxa" w:w="2160"/>
          </w:tcPr>
          <w:p>
            <w:r>
              <w:t>Bluefors (Finland)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**None - Single source**</w:t>
            </w:r>
          </w:p>
        </w:tc>
      </w:tr>
      <w:tr>
        <w:tc>
          <w:tcPr>
            <w:tcW w:type="dxa" w:w="2160"/>
          </w:tcPr>
          <w:p>
            <w:r>
              <w:t>Control Systems</w:t>
            </w:r>
          </w:p>
        </w:tc>
        <w:tc>
          <w:tcPr>
            <w:tcW w:type="dxa" w:w="2160"/>
          </w:tcPr>
          <w:p>
            <w:r>
              <w:t>Zurich Instruments (Switzerland)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</w:tr>
    </w:tbl>
    <w:p>
      <w:r/>
      <w:r>
        <w:rPr>
          <w:b/>
        </w:rPr>
        <w:t>Critical Gap:</w:t>
      </w:r>
      <w:r>
        <w:t xml:space="preserve"> Bluefors cryogenics represent a sole-source vulnerability. Any disruption could stall Italy's quantum roadmap for years.</w:t>
      </w:r>
    </w:p>
    <w:p>
      <w:pPr>
        <w:pStyle w:val="Heading1"/>
      </w:pPr>
      <w:r>
        <w:t>Vendor Pattern Analysis</w:t>
      </w:r>
    </w:p>
    <w:p>
      <w:pPr>
        <w:pStyle w:val="Heading2"/>
      </w:pPr>
      <w:r>
        <w:t>Defense Procurement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Content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 Assessment</w:t>
            </w:r>
          </w:p>
        </w:tc>
      </w:tr>
      <w:tr>
        <w:tc>
          <w:tcPr>
            <w:tcW w:type="dxa" w:w="2880"/>
          </w:tcPr>
          <w:p>
            <w:r>
              <w:t>Domestic Content</w:t>
            </w:r>
          </w:p>
        </w:tc>
        <w:tc>
          <w:tcPr>
            <w:tcW w:type="dxa" w:w="2880"/>
          </w:tcPr>
          <w:p>
            <w:r>
              <w:t>65%</w:t>
            </w:r>
          </w:p>
        </w:tc>
        <w:tc>
          <w:tcPr>
            <w:tcW w:type="dxa" w:w="2880"/>
          </w:tcPr>
          <w:p>
            <w:r>
              <w:t>Low risk</w:t>
            </w:r>
          </w:p>
        </w:tc>
      </w:tr>
      <w:tr>
        <w:tc>
          <w:tcPr>
            <w:tcW w:type="dxa" w:w="2880"/>
          </w:tcPr>
          <w:p>
            <w:r>
              <w:t>EU Content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Low risk</w:t>
            </w:r>
          </w:p>
        </w:tc>
      </w:tr>
      <w:tr>
        <w:tc>
          <w:tcPr>
            <w:tcW w:type="dxa" w:w="2880"/>
          </w:tcPr>
          <w:p>
            <w:r>
              <w:t>NATO Allied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Low risk</w:t>
            </w:r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Investigation required</w:t>
            </w:r>
          </w:p>
        </w:tc>
      </w:tr>
      <w:tr>
        <w:tc>
          <w:tcPr>
            <w:tcW w:type="dxa" w:w="2880"/>
          </w:tcPr>
          <w:p>
            <w:r>
              <w:t>**Estimated China Content**</w:t>
            </w:r>
          </w:p>
        </w:tc>
        <w:tc>
          <w:tcPr>
            <w:tcW w:type="dxa" w:w="2880"/>
          </w:tcPr>
          <w:p>
            <w:r>
              <w:t>**2-4%**</w:t>
            </w:r>
          </w:p>
        </w:tc>
        <w:tc>
          <w:tcPr>
            <w:tcW w:type="dxa" w:w="2880"/>
          </w:tcPr>
          <w:p>
            <w:r>
              <w:t>**HIGH RISK**</w:t>
            </w:r>
          </w:p>
        </w:tc>
      </w:tr>
    </w:tbl>
    <w:p>
      <w:pPr>
        <w:pStyle w:val="Heading2"/>
      </w:pPr>
      <w:r>
        <w:t>Top Vendor Concentration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China Risk 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160"/>
          </w:tcPr>
          <w:p>
            <w:r>
              <w:t>Leonardo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Beijing office, Chinese suppliers</w:t>
            </w:r>
          </w:p>
        </w:tc>
      </w:tr>
      <w:tr>
        <w:tc>
          <w:tcPr>
            <w:tcW w:type="dxa" w:w="2160"/>
          </w:tcPr>
          <w:p>
            <w:r>
              <w:t>Fincantieri</w:t>
            </w:r>
          </w:p>
        </w:tc>
        <w:tc>
          <w:tcPr>
            <w:tcW w:type="dxa" w:w="2160"/>
          </w:tcPr>
          <w:p>
            <w:r>
              <w:t>18%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Limited civilian cooperation</w:t>
            </w:r>
          </w:p>
        </w:tc>
      </w:tr>
      <w:tr>
        <w:tc>
          <w:tcPr>
            <w:tcW w:type="dxa" w:w="2160"/>
          </w:tcPr>
          <w:p>
            <w:r>
              <w:t>MBDA Italia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European parent controls</w:t>
            </w:r>
          </w:p>
        </w:tc>
      </w:tr>
      <w:tr>
        <w:tc>
          <w:tcPr>
            <w:tcW w:type="dxa" w:w="2160"/>
          </w:tcPr>
          <w:p>
            <w:r>
              <w:t>Thales Italia</w:t>
            </w:r>
          </w:p>
        </w:tc>
        <w:tc>
          <w:tcPr>
            <w:tcW w:type="dxa" w:w="2160"/>
          </w:tcPr>
          <w:p>
            <w:r>
              <w:t>6%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Global supply chain exposure</w:t>
            </w:r>
          </w:p>
        </w:tc>
      </w:tr>
    </w:tbl>
    <w:p>
      <w:r/>
      <w:r>
        <w:rPr>
          <w:b/>
        </w:rPr>
        <w:t>HHI Index:</w:t>
      </w:r>
      <w:r>
        <w:t xml:space="preserve"> 2,341 (Moderate concentration)</w:t>
      </w:r>
    </w:p>
    <w:p>
      <w:pPr>
        <w:pStyle w:val="Heading2"/>
      </w:pPr>
      <w:r>
        <w:t>Critical Node Vulnerabilities</w:t>
      </w:r>
    </w:p>
    <w:p>
      <w:pPr>
        <w:pStyle w:val="Heading3"/>
      </w:pPr>
      <w:r>
        <w:t>Leonardo - Triangle Risk Nexus</w:t>
      </w:r>
    </w:p>
    <w:p>
      <w:r>
        <w:t xml:space="preserve">- </w:t>
      </w:r>
      <w:r>
        <w:rPr>
          <w:b/>
        </w:rPr>
        <w:t>China Operations:</w:t>
      </w:r>
      <w:r>
        <w:t xml:space="preserve"> Leonardo (China) Co., Ltd fully-owned subsidiary</w:t>
      </w:r>
    </w:p>
    <w:p>
      <w:r>
        <w:t xml:space="preserve">- </w:t>
      </w:r>
      <w:r>
        <w:rPr>
          <w:b/>
        </w:rPr>
        <w:t>Supply Chain:</w:t>
      </w:r>
      <w:r>
        <w:t xml:space="preserve"> Chinese component suppliers for non-defense segments</w:t>
      </w:r>
    </w:p>
    <w:p>
      <w:r>
        <w:t xml:space="preserve">- </w:t>
      </w:r>
      <w:r>
        <w:rPr>
          <w:b/>
        </w:rPr>
        <w:t>Risk Pathway:</w:t>
      </w:r>
      <w:r>
        <w:t xml:space="preserve"> US technology → Leonardo DRS → Leonardo SpA → China exposure</w:t>
      </w:r>
    </w:p>
    <w:p>
      <w:r>
        <w:t xml:space="preserve">- </w:t>
      </w:r>
      <w:r>
        <w:rPr>
          <w:b/>
        </w:rPr>
        <w:t>Mitigation:</w:t>
      </w:r>
      <w:r>
        <w:t xml:space="preserve"> Special Security Agreement (effectiveness uncertain)</w:t>
      </w:r>
    </w:p>
    <w:p>
      <w:pPr>
        <w:pStyle w:val="Heading3"/>
      </w:pPr>
      <w:r>
        <w:t>STMicroelectronics - Fabrication Bottleneck</w:t>
      </w:r>
    </w:p>
    <w:p>
      <w:r>
        <w:t xml:space="preserve">- </w:t>
      </w:r>
      <w:r>
        <w:rPr>
          <w:b/>
        </w:rPr>
        <w:t>Locations:</w:t>
      </w:r>
      <w:r>
        <w:t xml:space="preserve"> Agrate, Catania</w:t>
      </w:r>
    </w:p>
    <w:p>
      <w:r>
        <w:t xml:space="preserve">- </w:t>
      </w:r>
      <w:r>
        <w:rPr>
          <w:b/>
        </w:rPr>
        <w:t>China Exposure:</w:t>
      </w:r>
      <w:r>
        <w:t xml:space="preserve"> Chinese raw materials, some Chinese customers</w:t>
      </w:r>
    </w:p>
    <w:p>
      <w:r>
        <w:t xml:space="preserve">- </w:t>
      </w:r>
      <w:r>
        <w:rPr>
          <w:b/>
        </w:rPr>
        <w:t>Vulnerability:</w:t>
      </w:r>
      <w:r>
        <w:t xml:space="preserve"> Fab capacity constraints, back-end Chinese processing</w:t>
      </w:r>
    </w:p>
    <w:p>
      <w:r>
        <w:t xml:space="preserve">- </w:t>
      </w:r>
      <w:r>
        <w:rPr>
          <w:b/>
        </w:rPr>
        <w:t>Triangle Risk:</w:t>
      </w:r>
      <w:r>
        <w:t xml:space="preserve"> Italian fab technology potentially accessible to China</w:t>
      </w:r>
    </w:p>
    <w:p>
      <w:pPr>
        <w:pStyle w:val="Heading1"/>
      </w:pPr>
      <w:r>
        <w:t>Procurement Signal Analysis</w:t>
      </w:r>
    </w:p>
    <w:p>
      <w:pPr>
        <w:pStyle w:val="Heading2"/>
      </w:pPr>
      <w:r>
        <w:t>Risk Trend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China Implications</w:t>
            </w:r>
          </w:p>
        </w:tc>
      </w:tr>
      <w:tr>
        <w:tc>
          <w:tcPr>
            <w:tcW w:type="dxa" w:w="2880"/>
          </w:tcPr>
          <w:p>
            <w:r>
              <w:t>Dual-Use Procurement Increase</w:t>
            </w:r>
          </w:p>
        </w:tc>
        <w:tc>
          <w:tcPr>
            <w:tcW w:type="dxa" w:w="2880"/>
          </w:tcPr>
          <w:p>
            <w:r>
              <w:t>40% increase in cyber/AI tenders (2022-2024)</w:t>
            </w:r>
          </w:p>
        </w:tc>
        <w:tc>
          <w:tcPr>
            <w:tcW w:type="dxa" w:w="2880"/>
          </w:tcPr>
          <w:p>
            <w:r>
              <w:t>Higher Chinese technology penetration risk</w:t>
            </w:r>
          </w:p>
        </w:tc>
      </w:tr>
      <w:tr>
        <w:tc>
          <w:tcPr>
            <w:tcW w:type="dxa" w:w="2880"/>
          </w:tcPr>
          <w:p>
            <w:r>
              <w:t>Supply Chain Localization</w:t>
            </w:r>
          </w:p>
        </w:tc>
        <w:tc>
          <w:tcPr>
            <w:tcW w:type="dxa" w:w="2880"/>
          </w:tcPr>
          <w:p>
            <w:r>
              <w:t>30% domestic content requirements (2023)</w:t>
            </w:r>
          </w:p>
        </w:tc>
        <w:tc>
          <w:tcPr>
            <w:tcW w:type="dxa" w:w="2880"/>
          </w:tcPr>
          <w:p>
            <w:r>
              <w:t>May reduce Chinese exposure but enforcement unclear</w:t>
            </w:r>
          </w:p>
        </w:tc>
      </w:tr>
      <w:tr>
        <w:tc>
          <w:tcPr>
            <w:tcW w:type="dxa" w:w="2880"/>
          </w:tcPr>
          <w:p>
            <w:r>
              <w:t>Enhanced China Screening</w:t>
            </w:r>
          </w:p>
        </w:tc>
        <w:tc>
          <w:tcPr>
            <w:tcW w:type="dxa" w:w="2880"/>
          </w:tcPr>
          <w:p>
            <w:r>
              <w:t>300% increase in Golden Power reviews (2024)</w:t>
            </w:r>
          </w:p>
        </w:tc>
        <w:tc>
          <w:tcPr>
            <w:tcW w:type="dxa" w:w="2880"/>
          </w:tcPr>
          <w:p>
            <w:r>
              <w:t>Growing awareness but gaps remain</w:t>
            </w:r>
          </w:p>
        </w:tc>
      </w:tr>
    </w:tbl>
    <w:p>
      <w:pPr>
        <w:pStyle w:val="Heading2"/>
      </w:pPr>
      <w:r>
        <w:t>Detection Challenges</w:t>
      </w:r>
    </w:p>
    <w:p>
      <w:r>
        <w:t xml:space="preserve">1. </w:t>
      </w:r>
      <w:r>
        <w:rPr>
          <w:b/>
        </w:rPr>
        <w:t>Multi-Tier Networks:</w:t>
      </w:r>
      <w:r>
        <w:t xml:space="preserve"> Chinese involvement obscured through multiple supplier layers</w:t>
      </w:r>
    </w:p>
    <w:p>
      <w:r>
        <w:t xml:space="preserve">2. </w:t>
      </w:r>
      <w:r>
        <w:rPr>
          <w:b/>
        </w:rPr>
        <w:t>Third-Country Routing:</w:t>
      </w:r>
      <w:r>
        <w:t xml:space="preserve"> Origin tracking complicated by transshipment</w:t>
      </w:r>
    </w:p>
    <w:p>
      <w:r>
        <w:t xml:space="preserve">3. </w:t>
      </w:r>
      <w:r>
        <w:rPr>
          <w:b/>
        </w:rPr>
        <w:t>Component-Level Integration:</w:t>
      </w:r>
      <w:r>
        <w:t xml:space="preserve"> Chinese components embedded in Western systems</w:t>
      </w:r>
    </w:p>
    <w:p>
      <w:r>
        <w:t xml:space="preserve">4. </w:t>
      </w:r>
      <w:r>
        <w:rPr>
          <w:b/>
        </w:rPr>
        <w:t>Software/Firmware:</w:t>
      </w:r>
      <w:r>
        <w:t xml:space="preserve"> Modifications undetectable without specialized testing</w:t>
      </w:r>
    </w:p>
    <w:p>
      <w:pPr>
        <w:pStyle w:val="Heading1"/>
      </w:pPr>
      <w:r>
        <w:t>Strategic Value Assessment to China</w:t>
      </w:r>
    </w:p>
    <w:p>
      <w:pPr>
        <w:pStyle w:val="Heading2"/>
      </w:pPr>
      <w:r>
        <w:t>Leapfrog Potential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Technology Domain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Chinese Capability Gap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Italian Advantage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Potential Acceleration</w:t>
            </w:r>
          </w:p>
        </w:tc>
      </w:tr>
      <w:tr>
        <w:tc>
          <w:tcPr>
            <w:tcW w:type="dxa" w:w="2160"/>
          </w:tcPr>
          <w:p>
            <w:r>
              <w:t>SiC Semiconductors</w:t>
            </w:r>
          </w:p>
        </w:tc>
        <w:tc>
          <w:tcPr>
            <w:tcW w:type="dxa" w:w="2160"/>
          </w:tcPr>
          <w:p>
            <w:r>
              <w:t>3-5 years</w:t>
            </w:r>
          </w:p>
        </w:tc>
        <w:tc>
          <w:tcPr>
            <w:tcW w:type="dxa" w:w="2160"/>
          </w:tcPr>
          <w:p>
            <w:r>
              <w:t>Back-end processing expertise</w:t>
            </w:r>
          </w:p>
        </w:tc>
        <w:tc>
          <w:tcPr>
            <w:tcW w:type="dxa" w:w="2160"/>
          </w:tcPr>
          <w:p>
            <w:r>
              <w:t>2-3 years</w:t>
            </w:r>
          </w:p>
        </w:tc>
      </w:tr>
      <w:tr>
        <w:tc>
          <w:tcPr>
            <w:tcW w:type="dxa" w:w="2160"/>
          </w:tcPr>
          <w:p>
            <w:r>
              <w:t>HPC/Quantum</w:t>
            </w:r>
          </w:p>
        </w:tc>
        <w:tc>
          <w:tcPr>
            <w:tcW w:type="dxa" w:w="2160"/>
          </w:tcPr>
          <w:p>
            <w:r>
              <w:t>GPU restrictions, cryogenics</w:t>
            </w:r>
          </w:p>
        </w:tc>
        <w:tc>
          <w:tcPr>
            <w:tcW w:type="dxa" w:w="2160"/>
          </w:tcPr>
          <w:p>
            <w:r>
              <w:t>CINECA capabilities</w:t>
            </w:r>
          </w:p>
        </w:tc>
        <w:tc>
          <w:tcPr>
            <w:tcW w:type="dxa" w:w="2160"/>
          </w:tcPr>
          <w:p>
            <w:r>
              <w:t>2-4 years</w:t>
            </w:r>
          </w:p>
        </w:tc>
      </w:tr>
      <w:tr>
        <w:tc>
          <w:tcPr>
            <w:tcW w:type="dxa" w:w="2160"/>
          </w:tcPr>
          <w:p>
            <w:r>
              <w:t>EO/SAR Systems</w:t>
            </w:r>
          </w:p>
        </w:tc>
        <w:tc>
          <w:tcPr>
            <w:tcW w:type="dxa" w:w="2160"/>
          </w:tcPr>
          <w:p>
            <w:r>
              <w:t>Maritime calibration</w:t>
            </w:r>
          </w:p>
        </w:tc>
        <w:tc>
          <w:tcPr>
            <w:tcW w:type="dxa" w:w="2160"/>
          </w:tcPr>
          <w:p>
            <w:r>
              <w:t>COSMO-SkyMed data</w:t>
            </w:r>
          </w:p>
        </w:tc>
        <w:tc>
          <w:tcPr>
            <w:tcW w:type="dxa" w:w="2160"/>
          </w:tcPr>
          <w:p>
            <w:r>
              <w:t>1-3 years</w:t>
            </w:r>
          </w:p>
        </w:tc>
      </w:tr>
      <w:tr>
        <w:tc>
          <w:tcPr>
            <w:tcW w:type="dxa" w:w="2160"/>
          </w:tcPr>
          <w:p>
            <w:r>
              <w:t>Naval Propulsion</w:t>
            </w:r>
          </w:p>
        </w:tc>
        <w:tc>
          <w:tcPr>
            <w:tcW w:type="dxa" w:w="2160"/>
          </w:tcPr>
          <w:p>
            <w:r>
              <w:t>Rare earth processing</w:t>
            </w:r>
          </w:p>
        </w:tc>
        <w:tc>
          <w:tcPr>
            <w:tcW w:type="dxa" w:w="2160"/>
          </w:tcPr>
          <w:p>
            <w:r>
              <w:t>Magnet applications</w:t>
            </w:r>
          </w:p>
        </w:tc>
        <w:tc>
          <w:tcPr>
            <w:tcW w:type="dxa" w:w="2160"/>
          </w:tcPr>
          <w:p>
            <w:r>
              <w:t>6-12 months</w:t>
            </w:r>
          </w:p>
        </w:tc>
      </w:tr>
      <w:tr>
        <w:tc>
          <w:tcPr>
            <w:tcW w:type="dxa" w:w="2160"/>
          </w:tcPr>
          <w:p>
            <w:r>
              <w:t>Robotics</w:t>
            </w:r>
          </w:p>
        </w:tc>
        <w:tc>
          <w:tcPr>
            <w:tcW w:type="dxa" w:w="2160"/>
          </w:tcPr>
          <w:p>
            <w:r>
              <w:t>Human-robot interaction</w:t>
            </w:r>
          </w:p>
        </w:tc>
        <w:tc>
          <w:tcPr>
            <w:tcW w:type="dxa" w:w="2160"/>
          </w:tcPr>
          <w:p>
            <w:r>
              <w:t>IIT algorithms</w:t>
            </w:r>
          </w:p>
        </w:tc>
        <w:tc>
          <w:tcPr>
            <w:tcW w:type="dxa" w:w="2160"/>
          </w:tcPr>
          <w:p>
            <w:r>
              <w:t>1-2 years</w:t>
            </w:r>
          </w:p>
        </w:tc>
      </w:tr>
    </w:tbl>
    <w:p>
      <w:pPr>
        <w:pStyle w:val="Heading2"/>
      </w:pPr>
      <w:r>
        <w:t>Capability Gaps China Seeks to Fill</w:t>
      </w:r>
    </w:p>
    <w:p>
      <w:r>
        <w:t xml:space="preserve">1. </w:t>
      </w:r>
      <w:r>
        <w:rPr>
          <w:b/>
        </w:rPr>
        <w:t>Power Electronics:</w:t>
      </w:r>
      <w:r>
        <w:t xml:space="preserve"> SiC technology for military radars and EV systems</w:t>
      </w:r>
    </w:p>
    <w:p>
      <w:r>
        <w:t xml:space="preserve">2. </w:t>
      </w:r>
      <w:r>
        <w:rPr>
          <w:b/>
        </w:rPr>
        <w:t>AI Training Infrastructure:</w:t>
      </w:r>
      <w:r>
        <w:t xml:space="preserve"> HPC capabilities for military AI development</w:t>
      </w:r>
    </w:p>
    <w:p>
      <w:r>
        <w:t xml:space="preserve">3. </w:t>
      </w:r>
      <w:r>
        <w:rPr>
          <w:b/>
        </w:rPr>
        <w:t>Maritime ISR:</w:t>
      </w:r>
      <w:r>
        <w:t xml:space="preserve"> SAR technology for South China Sea monitoring</w:t>
      </w:r>
    </w:p>
    <w:p>
      <w:r>
        <w:t xml:space="preserve">4. </w:t>
      </w:r>
      <w:r>
        <w:rPr>
          <w:b/>
        </w:rPr>
        <w:t>Autonomous Systems:</w:t>
      </w:r>
      <w:r>
        <w:t xml:space="preserve"> Robotics algorithms for unmanned platforms</w:t>
      </w:r>
    </w:p>
    <w:p>
      <w:r>
        <w:t xml:space="preserve">5. </w:t>
      </w:r>
      <w:r>
        <w:rPr>
          <w:b/>
        </w:rPr>
        <w:t>Propulsion Systems:</w:t>
      </w:r>
      <w:r>
        <w:t xml:space="preserve"> Advanced magnetic materials for naval applications</w:t>
      </w:r>
    </w:p>
    <w:p>
      <w:pPr>
        <w:pStyle w:val="Heading2"/>
      </w:pPr>
      <w:r>
        <w:t>Strategic Value Scoring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Technology 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Critical (10)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High (5)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Medium (2)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Low (0.5)</w:t>
            </w:r>
          </w:p>
        </w:tc>
      </w:tr>
      <w:tr>
        <w:tc>
          <w:tcPr>
            <w:tcW w:type="dxa" w:w="1728"/>
          </w:tcPr>
          <w:p>
            <w:r>
              <w:t>SiC Semiconductors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EO/SAR Systems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HPC/AI Infrastructure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Naval Magnets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Robotics Actuators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Generic ICT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Resilience Assessment</w:t>
      </w:r>
    </w:p>
    <w:p>
      <w:pPr>
        <w:pStyle w:val="Heading2"/>
      </w:pPr>
      <w:r>
        <w:t>Alternative Sourcing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Critical Component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Primary 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Alternative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Cost Impact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Performance Impact</w:t>
            </w:r>
          </w:p>
        </w:tc>
      </w:tr>
      <w:tr>
        <w:tc>
          <w:tcPr>
            <w:tcW w:type="dxa" w:w="1440"/>
          </w:tcPr>
          <w:p>
            <w:r>
              <w:t>SiC Substrates</w:t>
            </w:r>
          </w:p>
        </w:tc>
        <w:tc>
          <w:tcPr>
            <w:tcW w:type="dxa" w:w="1440"/>
          </w:tcPr>
          <w:p>
            <w:r>
              <w:t>Sweden/US</w:t>
            </w:r>
          </w:p>
        </w:tc>
        <w:tc>
          <w:tcPr>
            <w:tcW w:type="dxa" w:w="1440"/>
          </w:tcPr>
          <w:p>
            <w:r>
              <w:t>Japan (Showa Denko)</w:t>
            </w:r>
          </w:p>
        </w:tc>
        <w:tc>
          <w:tcPr>
            <w:tcW w:type="dxa" w:w="1440"/>
          </w:tcPr>
          <w:p>
            <w:r>
              <w:t>24-36 months</w:t>
            </w:r>
          </w:p>
        </w:tc>
        <w:tc>
          <w:tcPr>
            <w:tcW w:type="dxa" w:w="1440"/>
          </w:tcPr>
          <w:p>
            <w:r>
              <w:t>+100%</w:t>
            </w:r>
          </w:p>
        </w:tc>
        <w:tc>
          <w:tcPr>
            <w:tcW w:type="dxa" w:w="1440"/>
          </w:tcPr>
          <w:p>
            <w:r>
              <w:t>Equivalent</w:t>
            </w:r>
          </w:p>
        </w:tc>
      </w:tr>
      <w:tr>
        <w:tc>
          <w:tcPr>
            <w:tcW w:type="dxa" w:w="1440"/>
          </w:tcPr>
          <w:p>
            <w:r>
              <w:t>Cryogenics</w:t>
            </w:r>
          </w:p>
        </w:tc>
        <w:tc>
          <w:tcPr>
            <w:tcW w:type="dxa" w:w="1440"/>
          </w:tcPr>
          <w:p>
            <w:r>
              <w:t>Bluefors (Finland)</w:t>
            </w:r>
          </w:p>
        </w:tc>
        <w:tc>
          <w:tcPr>
            <w:tcW w:type="dxa" w:w="1440"/>
          </w:tcPr>
          <w:p>
            <w:r>
              <w:t>**None**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HPC GPUs</w:t>
            </w:r>
          </w:p>
        </w:tc>
        <w:tc>
          <w:tcPr>
            <w:tcW w:type="dxa" w:w="1440"/>
          </w:tcPr>
          <w:p>
            <w:r>
              <w:t>NVIDIA</w:t>
            </w:r>
          </w:p>
        </w:tc>
        <w:tc>
          <w:tcPr>
            <w:tcW w:type="dxa" w:w="1440"/>
          </w:tcPr>
          <w:p>
            <w:r>
              <w:t>AMD/Intel</w:t>
            </w:r>
          </w:p>
        </w:tc>
        <w:tc>
          <w:tcPr>
            <w:tcW w:type="dxa" w:w="1440"/>
          </w:tcPr>
          <w:p>
            <w:r>
              <w:t>6-12 months</w:t>
            </w:r>
          </w:p>
        </w:tc>
        <w:tc>
          <w:tcPr>
            <w:tcW w:type="dxa" w:w="1440"/>
          </w:tcPr>
          <w:p>
            <w:r>
              <w:t>+50%</w:t>
            </w:r>
          </w:p>
        </w:tc>
        <w:tc>
          <w:tcPr>
            <w:tcW w:type="dxa" w:w="1440"/>
          </w:tcPr>
          <w:p>
            <w:r>
              <w:t>-20-30%</w:t>
            </w:r>
          </w:p>
        </w:tc>
      </w:tr>
      <w:tr>
        <w:tc>
          <w:tcPr>
            <w:tcW w:type="dxa" w:w="1440"/>
          </w:tcPr>
          <w:p>
            <w:r>
              <w:t>Rare Earth Magnets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SmCo alternatives</w:t>
            </w:r>
          </w:p>
        </w:tc>
        <w:tc>
          <w:tcPr>
            <w:tcW w:type="dxa" w:w="1440"/>
          </w:tcPr>
          <w:p>
            <w:r>
              <w:t>24 months</w:t>
            </w:r>
          </w:p>
        </w:tc>
        <w:tc>
          <w:tcPr>
            <w:tcW w:type="dxa" w:w="1440"/>
          </w:tcPr>
          <w:p>
            <w:r>
              <w:t>+250%</w:t>
            </w:r>
          </w:p>
        </w:tc>
        <w:tc>
          <w:tcPr>
            <w:tcW w:type="dxa" w:w="1440"/>
          </w:tcPr>
          <w:p>
            <w:r>
              <w:t>-30%</w:t>
            </w:r>
          </w:p>
        </w:tc>
      </w:tr>
      <w:tr>
        <w:tc>
          <w:tcPr>
            <w:tcW w:type="dxa" w:w="1440"/>
          </w:tcPr>
          <w:p>
            <w:r>
              <w:t>Robotics Actuators</w:t>
            </w:r>
          </w:p>
        </w:tc>
        <w:tc>
          <w:tcPr>
            <w:tcW w:type="dxa" w:w="1440"/>
          </w:tcPr>
          <w:p>
            <w:r>
              <w:t>Harmonic Drive</w:t>
            </w:r>
          </w:p>
        </w:tc>
        <w:tc>
          <w:tcPr>
            <w:tcW w:type="dxa" w:w="1440"/>
          </w:tcPr>
          <w:p>
            <w:r>
              <w:t>Artisanal alternatives</w:t>
            </w:r>
          </w:p>
        </w:tc>
        <w:tc>
          <w:tcPr>
            <w:tcW w:type="dxa" w:w="1440"/>
          </w:tcPr>
          <w:p>
            <w:r>
              <w:t>12-18 months</w:t>
            </w:r>
          </w:p>
        </w:tc>
        <w:tc>
          <w:tcPr>
            <w:tcW w:type="dxa" w:w="1440"/>
          </w:tcPr>
          <w:p>
            <w:r>
              <w:t>+200%</w:t>
            </w:r>
          </w:p>
        </w:tc>
        <w:tc>
          <w:tcPr>
            <w:tcW w:type="dxa" w:w="1440"/>
          </w:tcPr>
          <w:p>
            <w:r>
              <w:t>Unknown reliability</w:t>
            </w:r>
          </w:p>
        </w:tc>
      </w:tr>
    </w:tbl>
    <w:p>
      <w:pPr>
        <w:pStyle w:val="Heading2"/>
      </w:pPr>
      <w:r>
        <w:t>Single Points of Failure</w:t>
      </w:r>
    </w:p>
    <w:p>
      <w:r>
        <w:t xml:space="preserve">1. </w:t>
      </w:r>
      <w:r>
        <w:rPr>
          <w:b/>
        </w:rPr>
        <w:t>Bluefors Cryogenics:</w:t>
      </w:r>
      <w:r>
        <w:t xml:space="preserve"> No alternatives exist for quantum computing infrastructure</w:t>
      </w:r>
    </w:p>
    <w:p>
      <w:r>
        <w:t xml:space="preserve">2. </w:t>
      </w:r>
      <w:r>
        <w:rPr>
          <w:b/>
        </w:rPr>
        <w:t>Harmonic Drive Actuators:</w:t>
      </w:r>
      <w:r>
        <w:t xml:space="preserve"> Global single point of failure for precision robotics</w:t>
      </w:r>
    </w:p>
    <w:p>
      <w:r>
        <w:t xml:space="preserve">3. </w:t>
      </w:r>
      <w:r>
        <w:rPr>
          <w:b/>
        </w:rPr>
        <w:t>Rare Earth Processing:</w:t>
      </w:r>
      <w:r>
        <w:t xml:space="preserve"> Chinese monopoly on processing/refinement</w:t>
      </w:r>
    </w:p>
    <w:p>
      <w:r>
        <w:t xml:space="preserve">4. </w:t>
      </w:r>
      <w:r>
        <w:rPr>
          <w:b/>
        </w:rPr>
        <w:t>Advanced Logic Fabs:</w:t>
      </w:r>
      <w:r>
        <w:t xml:space="preserve"> No Italian capability below 28nm</w:t>
      </w:r>
    </w:p>
    <w:p>
      <w:pPr>
        <w:pStyle w:val="Heading1"/>
      </w:pPr>
      <w:r>
        <w:t>NATO/US Integration Risks</w:t>
      </w:r>
    </w:p>
    <w:p>
      <w:pPr>
        <w:pStyle w:val="Heading2"/>
      </w:pPr>
      <w:r>
        <w:t>Technology Overlap Vulnerabilities</w:t>
      </w:r>
    </w:p>
    <w:p>
      <w:r>
        <w:t xml:space="preserve">1. </w:t>
      </w:r>
      <w:r>
        <w:rPr>
          <w:b/>
        </w:rPr>
        <w:t>Semiconductors:</w:t>
      </w:r>
      <w:r>
        <w:t xml:space="preserve"> ST supplies to both EU defense primes and US aerospace programs</w:t>
      </w:r>
    </w:p>
    <w:p>
      <w:r>
        <w:t xml:space="preserve">2. </w:t>
      </w:r>
      <w:r>
        <w:rPr>
          <w:b/>
        </w:rPr>
        <w:t>Space/EO:</w:t>
      </w:r>
      <w:r>
        <w:t xml:space="preserve"> COSMO-SkyMed data shared with US/NATO allies creates transatlantic exposure</w:t>
      </w:r>
    </w:p>
    <w:p>
      <w:r>
        <w:t xml:space="preserve">3. </w:t>
      </w:r>
      <w:r>
        <w:rPr>
          <w:b/>
        </w:rPr>
        <w:t>HPC/Quantum:</w:t>
      </w:r>
      <w:r>
        <w:t xml:space="preserve"> Leonardo system contributes to NATO modeling, potential Chinese access</w:t>
      </w:r>
    </w:p>
    <w:p>
      <w:r>
        <w:t xml:space="preserve">4. </w:t>
      </w:r>
      <w:r>
        <w:rPr>
          <w:b/>
        </w:rPr>
        <w:t>Naval Systems:</w:t>
      </w:r>
      <w:r>
        <w:t xml:space="preserve"> FREMM frigates integrated into NATO fleets, interoperability risks</w:t>
      </w:r>
    </w:p>
    <w:p>
      <w:pPr>
        <w:pStyle w:val="Heading2"/>
      </w:pPr>
      <w:r>
        <w:t>Award Overlap Analysis</w:t>
      </w:r>
    </w:p>
    <w:p>
      <w:r/>
      <w:r>
        <w:rPr>
          <w:b/>
        </w:rPr>
        <w:t>Critical Gap:</w:t>
      </w:r>
      <w:r>
        <w:t xml:space="preserve"> Italy lacks centralized registry linking ROR, LEI, and CAGE/NCAGE codes, preventing effective award overlap analysis between EU and NATO procurement systems.</w:t>
      </w:r>
    </w:p>
    <w:p>
      <w:pPr>
        <w:pStyle w:val="Heading1"/>
      </w:pPr>
      <w:r>
        <w:t>China Exposure Vectors</w:t>
      </w:r>
    </w:p>
    <w:p>
      <w:pPr>
        <w:pStyle w:val="Heading2"/>
      </w:pPr>
      <w:r>
        <w:t>Direct Supply Dependencies</w:t>
      </w:r>
    </w:p>
    <w:p>
      <w:r>
        <w:t xml:space="preserve">- </w:t>
      </w:r>
      <w:r>
        <w:rPr>
          <w:b/>
        </w:rPr>
        <w:t>Rare Earth Materials:</w:t>
      </w:r>
      <w:r>
        <w:t xml:space="preserve"> 85% dependency on Chinese sources</w:t>
      </w:r>
    </w:p>
    <w:p>
      <w:r>
        <w:t xml:space="preserve">- </w:t>
      </w:r>
      <w:r>
        <w:rPr>
          <w:b/>
        </w:rPr>
        <w:t>Electronics Manufacturing:</w:t>
      </w:r>
      <w:r>
        <w:t xml:space="preserve"> Chinese facilities processing Italian components</w:t>
      </w:r>
    </w:p>
    <w:p>
      <w:r>
        <w:t xml:space="preserve">- </w:t>
      </w:r>
      <w:r>
        <w:rPr>
          <w:b/>
        </w:rPr>
        <w:t>Raw Material Imports:</w:t>
      </w:r>
      <w:r>
        <w:t xml:space="preserve"> Critical materials with no alternative sources</w:t>
      </w:r>
    </w:p>
    <w:p>
      <w:pPr>
        <w:pStyle w:val="Heading2"/>
      </w:pPr>
      <w:r>
        <w:t>Indirect Exposure Pathways</w:t>
      </w:r>
    </w:p>
    <w:p>
      <w:r>
        <w:t xml:space="preserve">- </w:t>
      </w:r>
      <w:r>
        <w:rPr>
          <w:b/>
        </w:rPr>
        <w:t>Conference Networks:</w:t>
      </w:r>
      <w:r>
        <w:t xml:space="preserve"> Technology disclosure at SEMICON, IAC, ICRA events</w:t>
      </w:r>
    </w:p>
    <w:p>
      <w:r>
        <w:t xml:space="preserve">- </w:t>
      </w:r>
      <w:r>
        <w:rPr>
          <w:b/>
        </w:rPr>
        <w:t>MoU Signings:</w:t>
      </w:r>
      <w:r>
        <w:t xml:space="preserve"> Adjacent to conferences, poorly tracked</w:t>
      </w:r>
    </w:p>
    <w:p>
      <w:r>
        <w:t xml:space="preserve">- </w:t>
      </w:r>
      <w:r>
        <w:rPr>
          <w:b/>
        </w:rPr>
        <w:t>Joint Ventures:</w:t>
      </w:r>
      <w:r>
        <w:t xml:space="preserve"> D-Orbit orbital hosting model risks PRC payload inclusion</w:t>
      </w:r>
    </w:p>
    <w:p>
      <w:r>
        <w:t xml:space="preserve">- </w:t>
      </w:r>
      <w:r>
        <w:rPr>
          <w:b/>
        </w:rPr>
        <w:t>Academic Linkages:</w:t>
      </w:r>
      <w:r>
        <w:t xml:space="preserve"> Research collaborations with Chinese institutions</w:t>
      </w:r>
    </w:p>
    <w:p>
      <w:pPr>
        <w:pStyle w:val="Heading2"/>
      </w:pPr>
      <w:r>
        <w:t>Procurement Infiltration</w:t>
      </w:r>
    </w:p>
    <w:p>
      <w:r>
        <w:t xml:space="preserve">- </w:t>
      </w:r>
      <w:r>
        <w:rPr>
          <w:b/>
        </w:rPr>
        <w:t>Shell Companies:</w:t>
      </w:r>
      <w:r>
        <w:t xml:space="preserve"> PRC subsidiaries exploit EU procurement rules</w:t>
      </w:r>
    </w:p>
    <w:p>
      <w:r>
        <w:t xml:space="preserve">- </w:t>
      </w:r>
      <w:r>
        <w:rPr>
          <w:b/>
        </w:rPr>
        <w:t>Third-Country Routing:</w:t>
      </w:r>
      <w:r>
        <w:t xml:space="preserve"> Chinese involvement obscured through intermediaries</w:t>
      </w:r>
    </w:p>
    <w:p>
      <w:r>
        <w:t xml:space="preserve">- </w:t>
      </w:r>
      <w:r>
        <w:rPr>
          <w:b/>
        </w:rPr>
        <w:t>Component-Level Integration:</w:t>
      </w:r>
      <w:r>
        <w:t xml:space="preserve"> Chinese parts embedded in Western systems</w:t>
      </w:r>
    </w:p>
    <w:p>
      <w:pPr>
        <w:pStyle w:val="Heading1"/>
      </w:pPr>
      <w:r>
        <w:t>Recommendations</w:t>
      </w:r>
    </w:p>
    <w:p>
      <w:pPr>
        <w:pStyle w:val="Heading2"/>
      </w:pPr>
      <w:r>
        <w:t>Immediate Actions (0-6 months)</w:t>
      </w:r>
    </w:p>
    <w:p>
      <w:r>
        <w:t xml:space="preserve">1. </w:t>
      </w:r>
      <w:r>
        <w:rPr>
          <w:b/>
        </w:rPr>
        <w:t>Supply Chain Audit:</w:t>
      </w:r>
      <w:r>
        <w:t xml:space="preserve"> Complete mapping to component level for all critical technologies</w:t>
      </w:r>
    </w:p>
    <w:p>
      <w:r>
        <w:t xml:space="preserve">2. </w:t>
      </w:r>
      <w:r>
        <w:rPr>
          <w:b/>
        </w:rPr>
        <w:t>Chinese Dependency Assessment:</w:t>
      </w:r>
      <w:r>
        <w:t xml:space="preserve"> Quantify Chinese involvement across all supply tiers</w:t>
      </w:r>
    </w:p>
    <w:p>
      <w:r>
        <w:t xml:space="preserve">3. </w:t>
      </w:r>
      <w:r>
        <w:rPr>
          <w:b/>
        </w:rPr>
        <w:t>CAGE/NCAGE Registry:</w:t>
      </w:r>
      <w:r>
        <w:t xml:space="preserve"> Establish centralized database linking organizational identifiers</w:t>
      </w:r>
    </w:p>
    <w:p>
      <w:r>
        <w:t xml:space="preserve">4. </w:t>
      </w:r>
      <w:r>
        <w:rPr>
          <w:b/>
        </w:rPr>
        <w:t>Alternative Sourcing:</w:t>
      </w:r>
      <w:r>
        <w:t xml:space="preserve"> Accelerate development of non-Chinese sources for critical components</w:t>
      </w:r>
    </w:p>
    <w:p>
      <w:pPr>
        <w:pStyle w:val="Heading2"/>
      </w:pPr>
      <w:r>
        <w:t>System Improvements (6-18 months)</w:t>
      </w:r>
    </w:p>
    <w:p>
      <w:r>
        <w:t xml:space="preserve">1. </w:t>
      </w:r>
      <w:r>
        <w:rPr>
          <w:b/>
        </w:rPr>
        <w:t>Mandatory Disclosure:</w:t>
      </w:r>
      <w:r>
        <w:t xml:space="preserve"> Require revelation of Chinese involvement in all supply chains</w:t>
      </w:r>
    </w:p>
    <w:p>
      <w:r>
        <w:t xml:space="preserve">2. </w:t>
      </w:r>
      <w:r>
        <w:rPr>
          <w:b/>
        </w:rPr>
        <w:t>Security Testing:</w:t>
      </w:r>
      <w:r>
        <w:t xml:space="preserve"> Implement comprehensive testing of Chinese-origin components</w:t>
      </w:r>
    </w:p>
    <w:p>
      <w:r>
        <w:t xml:space="preserve">3. </w:t>
      </w:r>
      <w:r>
        <w:rPr>
          <w:b/>
        </w:rPr>
        <w:t>Award Overlap Analysis:</w:t>
      </w:r>
      <w:r>
        <w:t xml:space="preserve"> Deploy TED x NATO procurement crosswalk system</w:t>
      </w:r>
    </w:p>
    <w:p>
      <w:r>
        <w:t xml:space="preserve">4. </w:t>
      </w:r>
      <w:r>
        <w:rPr>
          <w:b/>
        </w:rPr>
        <w:t>Resilience Modeling:</w:t>
      </w:r>
      <w:r>
        <w:t xml:space="preserve"> Develop scenarios for critical supply disruptions</w:t>
      </w:r>
    </w:p>
    <w:p>
      <w:pPr>
        <w:pStyle w:val="Heading2"/>
      </w:pPr>
      <w:r>
        <w:t>Strategic Initiatives (12-24 months)</w:t>
      </w:r>
    </w:p>
    <w:p>
      <w:r>
        <w:t xml:space="preserve">1. </w:t>
      </w:r>
      <w:r>
        <w:rPr>
          <w:b/>
        </w:rPr>
        <w:t>EU Coordination:</w:t>
      </w:r>
      <w:r>
        <w:t xml:space="preserve"> Align Italian supply chain security with broader EU initiatives</w:t>
      </w:r>
    </w:p>
    <w:p>
      <w:r>
        <w:t xml:space="preserve">2. </w:t>
      </w:r>
      <w:r>
        <w:rPr>
          <w:b/>
        </w:rPr>
        <w:t>Alternative Development:</w:t>
      </w:r>
      <w:r>
        <w:t xml:space="preserve"> Invest in domestic/allied alternatives for critical dependencies</w:t>
      </w:r>
    </w:p>
    <w:p>
      <w:r>
        <w:t xml:space="preserve">3. </w:t>
      </w:r>
      <w:r>
        <w:rPr>
          <w:b/>
        </w:rPr>
        <w:t>Strategic Stockpiling:</w:t>
      </w:r>
      <w:r>
        <w:t xml:space="preserve"> Establish reserves of critical materials and components</w:t>
      </w:r>
    </w:p>
    <w:p>
      <w:r>
        <w:t xml:space="preserve">4. </w:t>
      </w:r>
      <w:r>
        <w:rPr>
          <w:b/>
        </w:rPr>
        <w:t>Technology Sovereignty:</w:t>
      </w:r>
      <w:r>
        <w:t xml:space="preserve"> Reduce dependencies through domestic capability development</w:t>
      </w:r>
    </w:p>
    <w:p>
      <w:pPr>
        <w:pStyle w:val="Heading1"/>
      </w:pPr>
      <w:r>
        <w:t>Quality Assessment</w:t>
      </w:r>
    </w:p>
    <w:p>
      <w:pPr>
        <w:pStyle w:val="Heading2"/>
      </w:pPr>
      <w:r>
        <w:t>Strengths</w:t>
      </w:r>
    </w:p>
    <w:p>
      <w:pPr>
        <w:pStyle w:val="ListBullet"/>
      </w:pPr>
      <w:r>
        <w:t>Comprehensive supply chain mapping</w:t>
      </w:r>
    </w:p>
    <w:p>
      <w:pPr>
        <w:pStyle w:val="ListBullet"/>
      </w:pPr>
      <w:r>
        <w:t>Quantified dependencies and alternatives</w:t>
      </w:r>
    </w:p>
    <w:p>
      <w:pPr>
        <w:pStyle w:val="ListBullet"/>
      </w:pPr>
      <w:r>
        <w:t>Clear risk pathway identification</w:t>
      </w:r>
    </w:p>
    <w:p>
      <w:pPr>
        <w:pStyle w:val="ListBullet"/>
      </w:pPr>
      <w:r>
        <w:t>Strategic value assessment integrated</w:t>
      </w:r>
    </w:p>
    <w:p>
      <w:pPr>
        <w:pStyle w:val="Heading2"/>
      </w:pPr>
      <w:r>
        <w:t>Weaknesses</w:t>
      </w:r>
    </w:p>
    <w:p>
      <w:pPr>
        <w:pStyle w:val="ListBullet"/>
      </w:pPr>
      <w:r>
        <w:t>Limited visibility into multi-tier supplier networks</w:t>
      </w:r>
    </w:p>
    <w:p>
      <w:pPr>
        <w:pStyle w:val="ListBullet"/>
      </w:pPr>
      <w:r>
        <w:t>Incomplete CAGE/NCAGE code mapping</w:t>
      </w:r>
    </w:p>
    <w:p>
      <w:pPr>
        <w:pStyle w:val="ListBullet"/>
      </w:pPr>
      <w:r>
        <w:t>Weak negative evidence documentation</w:t>
      </w:r>
    </w:p>
    <w:p>
      <w:pPr>
        <w:pStyle w:val="ListBullet"/>
      </w:pPr>
      <w:r>
        <w:t>Missing real-time monitoring capabilities</w:t>
      </w:r>
    </w:p>
    <w:p>
      <w:pPr>
        <w:pStyle w:val="Heading2"/>
      </w:pPr>
      <w:r>
        <w:t>Confidence Levels</w:t>
      </w:r>
    </w:p>
    <w:p>
      <w:r>
        <w:t xml:space="preserve">- </w:t>
      </w:r>
      <w:r>
        <w:rPr>
          <w:b/>
        </w:rPr>
        <w:t>Critical Component Dependencies:</w:t>
      </w:r>
      <w:r>
        <w:t xml:space="preserve"> HIGH (trade data sources)</w:t>
      </w:r>
    </w:p>
    <w:p>
      <w:r>
        <w:t xml:space="preserve">- </w:t>
      </w:r>
      <w:r>
        <w:rPr>
          <w:b/>
        </w:rPr>
        <w:t>China Exposure Assessment:</w:t>
      </w:r>
      <w:r>
        <w:t xml:space="preserve"> MEDIUM-HIGH (some estimation required)</w:t>
      </w:r>
    </w:p>
    <w:p>
      <w:r>
        <w:t xml:space="preserve">- </w:t>
      </w:r>
      <w:r>
        <w:rPr>
          <w:b/>
        </w:rPr>
        <w:t>Alternative Analysis:</w:t>
      </w:r>
      <w:r>
        <w:t xml:space="preserve"> MEDIUM (industry data limitations)</w:t>
      </w:r>
    </w:p>
    <w:p>
      <w:r>
        <w:t xml:space="preserve">- </w:t>
      </w:r>
      <w:r>
        <w:rPr>
          <w:b/>
        </w:rPr>
        <w:t>Strategic Value Scoring:</w:t>
      </w:r>
      <w:r>
        <w:t xml:space="preserve"> MEDIUM (analytical assessment)</w:t>
      </w:r>
    </w:p>
    <w:p>
      <w:pPr>
        <w:pStyle w:val="Heading1"/>
      </w:pPr>
      <w:r>
        <w:t>Framework Compliance</w:t>
      </w:r>
    </w:p>
    <w:p>
      <w:pPr>
        <w:pStyle w:val="Heading2"/>
      </w:pPr>
      <w:r>
        <w:t>ChatGPT v6 Requirements</w:t>
      </w:r>
    </w:p>
    <w:p>
      <w:r>
        <w:t>✓ Critical component identification complete</w:t>
      </w:r>
    </w:p>
    <w:p>
      <w:r>
        <w:t>✓ Supply chain mapping conducted</w:t>
      </w:r>
    </w:p>
    <w:p>
      <w:r>
        <w:t>✓ Alternative sourcing assessed</w:t>
      </w:r>
    </w:p>
    <w:p>
      <w:r>
        <w:t>✓ China exposure quantified</w:t>
      </w:r>
    </w:p>
    <w:p>
      <w:r>
        <w:t>✓ Strategic implications analyzed</w:t>
      </w:r>
    </w:p>
    <w:p>
      <w:pPr>
        <w:pStyle w:val="Heading2"/>
      </w:pPr>
      <w:r>
        <w:t>Claude Enhancements</w:t>
      </w:r>
    </w:p>
    <w:p>
      <w:r>
        <w:t>✓ Triangle risk analysis integrated</w:t>
      </w:r>
    </w:p>
    <w:p>
      <w:r>
        <w:t>✓ Single points of failure identified</w:t>
      </w:r>
    </w:p>
    <w:p>
      <w:r>
        <w:t>✓ Quantitative dependency metrics</w:t>
      </w:r>
    </w:p>
    <w:p>
      <w:r>
        <w:t>✓ NATO/US overlap assessment</w:t>
      </w:r>
    </w:p>
    <w:p>
      <w:r>
        <w:t>✓ Conference-based exposure vectors</w:t>
      </w:r>
    </w:p>
    <w:p>
      <w:pPr>
        <w:pStyle w:val="Heading1"/>
      </w:pPr>
      <w:r>
        <w:t>Conclusion</w:t>
      </w:r>
    </w:p>
    <w:p>
      <w:r>
        <w:t>Italy's supply chain vulnerabilities represent a critical national security challenge with far-reaching implications for NATO and EU technology security. The combination of high dependencies on Chinese sources (85% rare earths), indirect exposure through processing facilities (Shenzhen semiconductor packaging), and weak oversight of multi-tier supplier networks creates multiple exploitation pathways for Chinese technology acquisition.</w:t>
      </w:r>
    </w:p>
    <w:p>
      <w:r/>
      <w:r>
        <w:rPr>
          <w:b/>
        </w:rPr>
        <w:t>Critical Findings:</w:t>
      </w:r>
      <w:r/>
    </w:p>
    <w:p>
      <w:r>
        <w:t xml:space="preserve">1. </w:t>
      </w:r>
      <w:r>
        <w:rPr>
          <w:b/>
        </w:rPr>
        <w:t>Single Points of Failure:</w:t>
      </w:r>
      <w:r>
        <w:t xml:space="preserve"> Bluefors cryogenics and Harmonic Drive actuators have no alternatives</w:t>
      </w:r>
    </w:p>
    <w:p>
      <w:r>
        <w:t xml:space="preserve">2. </w:t>
      </w:r>
      <w:r>
        <w:rPr>
          <w:b/>
        </w:rPr>
        <w:t>Triangle Risks:</w:t>
      </w:r>
      <w:r>
        <w:t xml:space="preserve"> Chinese components in Italian systems processing US data</w:t>
      </w:r>
    </w:p>
    <w:p>
      <w:r>
        <w:t xml:space="preserve">3. </w:t>
      </w:r>
      <w:r>
        <w:rPr>
          <w:b/>
        </w:rPr>
        <w:t>Strategic Chokepoints:</w:t>
      </w:r>
      <w:r>
        <w:t xml:space="preserve"> Chinese control of rare earth processing affects all advanced technologies</w:t>
      </w:r>
    </w:p>
    <w:p>
      <w:r>
        <w:t xml:space="preserve">4. </w:t>
      </w:r>
      <w:r>
        <w:rPr>
          <w:b/>
        </w:rPr>
        <w:t>Oversight Gaps:</w:t>
      </w:r>
      <w:r>
        <w:t xml:space="preserve"> No centralized registry for tracking NATO-relevant suppliers</w:t>
      </w:r>
    </w:p>
    <w:p>
      <w:r/>
      <w:r>
        <w:rPr>
          <w:b/>
        </w:rPr>
        <w:t>Priority Actions:</w:t>
      </w:r>
      <w:r/>
    </w:p>
    <w:p>
      <w:pPr>
        <w:pStyle w:val="ListNumber"/>
      </w:pPr>
      <w:r>
        <w:t>Emergency alternative sourcing for Bluefors and Harmonic Drive dependencies</w:t>
      </w:r>
    </w:p>
    <w:p>
      <w:pPr>
        <w:pStyle w:val="ListNumber"/>
      </w:pPr>
      <w:r>
        <w:t>Comprehensive audit of Chinese involvement in all supply chains</w:t>
      </w:r>
    </w:p>
    <w:p>
      <w:pPr>
        <w:pStyle w:val="ListNumber"/>
      </w:pPr>
      <w:r>
        <w:t>Implementation of mandatory disclosure requirements within 90 days</w:t>
      </w:r>
    </w:p>
    <w:p>
      <w:pPr>
        <w:pStyle w:val="ListNumber"/>
      </w:pPr>
      <w:r>
        <w:t>Development of strategic stockpiles for critical materials</w:t>
      </w:r>
    </w:p>
    <w:p>
      <w:r>
        <w:t>The window for effective supply chain security enhancement is narrowing as Chinese market dominance in critical materials continues to expand and Italian dependencies deepen.</w:t>
      </w:r>
    </w:p>
    <w:p>
      <w:pPr>
        <w:pStyle w:val="ListBullet"/>
      </w:pPr>
    </w:p>
    <w:p>
      <w:pPr>
        <w:pStyle w:val="ListBullet"/>
      </w:pPr>
      <w:r>
        <w:t>Next Phase: Institutional Analysis (Phase 5)*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