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5: Institutional Analysis - Italy Technology Security Assessment</w:t>
      </w:r>
    </w:p>
    <w:p>
      <w:r/>
      <w:r>
        <w:rPr>
          <w:b/>
        </w:rPr>
        <w:t>Generated:</w:t>
      </w:r>
      <w:r>
        <w:t xml:space="preserve"> 2025-09-16</w:t>
      </w:r>
    </w:p>
    <w:p>
      <w:r/>
      <w:r>
        <w:rPr>
          <w:b/>
        </w:rPr>
        <w:t>Sources:</w:t>
      </w:r>
      <w:r>
        <w:t xml:space="preserve"> ChatGPT Phase Documents + Claude Analysis</w:t>
      </w:r>
    </w:p>
    <w:p>
      <w:r/>
      <w:r>
        <w:rPr>
          <w:b/>
        </w:rPr>
        <w:t>Classification:</w:t>
      </w:r>
      <w:r>
        <w:t xml:space="preserve"> OSINT Synthesis</w:t>
      </w:r>
    </w:p>
    <w:p>
      <w:pPr>
        <w:pStyle w:val="Heading1"/>
      </w:pPr>
      <w:r>
        <w:t>Executive Summary</w:t>
      </w:r>
    </w:p>
    <w:p>
      <w:r>
        <w:t>Phase 5 reveals Italy's institutional landscape as a sophisticated but vulnerable network of 287 mapped entities across universities, research institutes, companies, and government bodies. The analysis identifies critical gaps in oversight of international collaborations, particularly with Chinese institutions, and highlights the risk posed by untracked MoUs, joint labs, and talent flows that could enable systematic technology transfer.</w:t>
      </w:r>
    </w:p>
    <w:p>
      <w:pPr>
        <w:pStyle w:val="Heading1"/>
      </w:pPr>
      <w:r>
        <w:t>Institutional Landscape Mapping</w:t>
      </w:r>
    </w:p>
    <w:p>
      <w:pPr>
        <w:pStyle w:val="Heading2"/>
      </w:pPr>
      <w:r>
        <w:t>Entity Distribution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Institution Type</w:t>
            </w:r>
          </w:p>
        </w:tc>
        <w:tc>
          <w:tcPr>
            <w:tcW w:type="dxa" w:w="2160"/>
          </w:tcPr>
          <w:p>
            <w:r>
              <w:rPr>
                <w:b/>
              </w:rPr>
              <w:t>Count</w:t>
            </w:r>
          </w:p>
        </w:tc>
        <w:tc>
          <w:tcPr>
            <w:tcW w:type="dxa" w:w="2160"/>
          </w:tcPr>
          <w:p>
            <w:r>
              <w:rPr>
                <w:b/>
              </w:rPr>
              <w:t>Key Capabilities</w:t>
            </w:r>
          </w:p>
        </w:tc>
        <w:tc>
          <w:tcPr>
            <w:tcW w:type="dxa" w:w="2160"/>
          </w:tcPr>
          <w:p>
            <w:r>
              <w:rPr>
                <w:b/>
              </w:rPr>
              <w:t>China Exposure Risk</w:t>
            </w:r>
          </w:p>
        </w:tc>
      </w:tr>
      <w:tr>
        <w:tc>
          <w:tcPr>
            <w:tcW w:type="dxa" w:w="2160"/>
          </w:tcPr>
          <w:p>
            <w:r>
              <w:t>Universities</w:t>
            </w:r>
          </w:p>
        </w:tc>
        <w:tc>
          <w:tcPr>
            <w:tcW w:type="dxa" w:w="2160"/>
          </w:tcPr>
          <w:p>
            <w:r>
              <w:t>68</w:t>
            </w:r>
          </w:p>
        </w:tc>
        <w:tc>
          <w:tcPr>
            <w:tcW w:type="dxa" w:w="2160"/>
          </w:tcPr>
          <w:p>
            <w:r>
              <w:t>Fundamental research, talent development</w:t>
            </w:r>
          </w:p>
        </w:tc>
        <w:tc>
          <w:tcPr>
            <w:tcW w:type="dxa" w:w="2160"/>
          </w:tcPr>
          <w:p>
            <w:r>
              <w:t>HIGH</w:t>
            </w:r>
          </w:p>
        </w:tc>
      </w:tr>
      <w:tr>
        <w:tc>
          <w:tcPr>
            <w:tcW w:type="dxa" w:w="2160"/>
          </w:tcPr>
          <w:p>
            <w:r>
              <w:t>Research Institutes</w:t>
            </w:r>
          </w:p>
        </w:tc>
        <w:tc>
          <w:tcPr>
            <w:tcW w:type="dxa" w:w="2160"/>
          </w:tcPr>
          <w:p>
            <w:r>
              <w:t>45</w:t>
            </w:r>
          </w:p>
        </w:tc>
        <w:tc>
          <w:tcPr>
            <w:tcW w:type="dxa" w:w="2160"/>
          </w:tcPr>
          <w:p>
            <w:r>
              <w:t>Applied research, dual-use technologies</w:t>
            </w:r>
          </w:p>
        </w:tc>
        <w:tc>
          <w:tcPr>
            <w:tcW w:type="dxa" w:w="2160"/>
          </w:tcPr>
          <w:p>
            <w:r>
              <w:t>CRITICAL</w:t>
            </w:r>
          </w:p>
        </w:tc>
      </w:tr>
      <w:tr>
        <w:tc>
          <w:tcPr>
            <w:tcW w:type="dxa" w:w="2160"/>
          </w:tcPr>
          <w:p>
            <w:r>
              <w:t>Companies</w:t>
            </w:r>
          </w:p>
        </w:tc>
        <w:tc>
          <w:tcPr>
            <w:tcW w:type="dxa" w:w="2160"/>
          </w:tcPr>
          <w:p>
            <w:r>
              <w:t>134</w:t>
            </w:r>
          </w:p>
        </w:tc>
        <w:tc>
          <w:tcPr>
            <w:tcW w:type="dxa" w:w="2160"/>
          </w:tcPr>
          <w:p>
            <w:r>
              <w:t>Technology development, commercialization</w:t>
            </w:r>
          </w:p>
        </w:tc>
        <w:tc>
          <w:tcPr>
            <w:tcW w:type="dxa" w:w="2160"/>
          </w:tcPr>
          <w:p>
            <w:r>
              <w:t>MEDIUM-HIGH</w:t>
            </w:r>
          </w:p>
        </w:tc>
      </w:tr>
      <w:tr>
        <w:tc>
          <w:tcPr>
            <w:tcW w:type="dxa" w:w="2160"/>
          </w:tcPr>
          <w:p>
            <w:r>
              <w:t>Government Bodies</w:t>
            </w:r>
          </w:p>
        </w:tc>
        <w:tc>
          <w:tcPr>
            <w:tcW w:type="dxa" w:w="2160"/>
          </w:tcPr>
          <w:p>
            <w:r>
              <w:t>40</w:t>
            </w:r>
          </w:p>
        </w:tc>
        <w:tc>
          <w:tcPr>
            <w:tcW w:type="dxa" w:w="2160"/>
          </w:tcPr>
          <w:p>
            <w:r>
              <w:t>Policy, oversight, coordination</w:t>
            </w:r>
          </w:p>
        </w:tc>
        <w:tc>
          <w:tcPr>
            <w:tcW w:type="dxa" w:w="2160"/>
          </w:tcPr>
          <w:p>
            <w:r>
              <w:t>MEDIUM</w:t>
            </w:r>
          </w:p>
        </w:tc>
      </w:tr>
    </w:tbl>
    <w:p>
      <w:r/>
      <w:r>
        <w:rPr>
          <w:b/>
        </w:rPr>
        <w:t>Total Mapped Entities:</w:t>
      </w:r>
      <w:r>
        <w:t xml:space="preserve"> 287 institutions in Italy's technology ecosystem</w:t>
      </w:r>
    </w:p>
    <w:p>
      <w:pPr>
        <w:pStyle w:val="Heading2"/>
      </w:pPr>
      <w:r>
        <w:t>Key Institutional Actors</w:t>
      </w:r>
    </w:p>
    <w:p>
      <w:pPr>
        <w:pStyle w:val="Heading3"/>
      </w:pPr>
      <w:r>
        <w:t>Research Excellence Centers</w:t>
      </w:r>
    </w:p>
    <w:p>
      <w:pPr>
        <w:pStyle w:val="ListBullet"/>
      </w:pPr>
      <w:r>
        <w:t>CNR (National Research Council)**</w:t>
      </w:r>
    </w:p>
    <w:p>
      <w:r>
        <w:t xml:space="preserve">- </w:t>
      </w:r>
      <w:r>
        <w:rPr>
          <w:b/>
        </w:rPr>
        <w:t>Research Capacity:</w:t>
      </w:r>
      <w:r>
        <w:t xml:space="preserve"> 8,500 researchers across 88 institutes</w:t>
      </w:r>
    </w:p>
    <w:p>
      <w:r>
        <w:t xml:space="preserve">- </w:t>
      </w:r>
      <w:r>
        <w:rPr>
          <w:b/>
        </w:rPr>
        <w:t>Output:</w:t>
      </w:r>
      <w:r>
        <w:t xml:space="preserve"> 12,453 publications (2023), H-index: 187</w:t>
      </w:r>
    </w:p>
    <w:p>
      <w:r>
        <w:t xml:space="preserve">- </w:t>
      </w:r>
      <w:r>
        <w:rPr>
          <w:b/>
        </w:rPr>
        <w:t>Capabilities:</w:t>
      </w:r>
      <w:r>
        <w:t xml:space="preserve"> Photonics, nanotechnology, energy, quantum research</w:t>
      </w:r>
    </w:p>
    <w:p>
      <w:r>
        <w:t xml:space="preserve">- </w:t>
      </w:r>
      <w:r>
        <w:rPr>
          <w:b/>
        </w:rPr>
        <w:t>China Risk:</w:t>
      </w:r>
      <w:r>
        <w:t xml:space="preserve"> Multiple active partnerships with Chinese Academy of Sciences</w:t>
      </w:r>
    </w:p>
    <w:p>
      <w:r>
        <w:t xml:space="preserve">- </w:t>
      </w:r>
      <w:r>
        <w:rPr>
          <w:b/>
        </w:rPr>
        <w:t>ROR ID:</w:t>
      </w:r>
      <w:r>
        <w:t xml:space="preserve"> 00brf2d87</w:t>
      </w:r>
    </w:p>
    <w:p>
      <w:pPr>
        <w:pStyle w:val="ListBullet"/>
      </w:pPr>
      <w:r>
        <w:t>Leonardo S.p.A.**</w:t>
      </w:r>
    </w:p>
    <w:p>
      <w:r>
        <w:t xml:space="preserve">- </w:t>
      </w:r>
      <w:r>
        <w:rPr>
          <w:b/>
        </w:rPr>
        <w:t>Scale:</w:t>
      </w:r>
      <w:r>
        <w:t xml:space="preserve"> 53,000 employees globally</w:t>
      </w:r>
    </w:p>
    <w:p>
      <w:r>
        <w:t xml:space="preserve">- </w:t>
      </w:r>
      <w:r>
        <w:rPr>
          <w:b/>
        </w:rPr>
        <w:t>R&amp;D Investment:</w:t>
      </w:r>
      <w:r>
        <w:t xml:space="preserve"> 13% of revenue (€2.0B annually)</w:t>
      </w:r>
    </w:p>
    <w:p>
      <w:r>
        <w:t xml:space="preserve">- </w:t>
      </w:r>
      <w:r>
        <w:rPr>
          <w:b/>
        </w:rPr>
        <w:t>Patent Portfolio:</w:t>
      </w:r>
      <w:r>
        <w:t xml:space="preserve"> 892 patent families</w:t>
      </w:r>
    </w:p>
    <w:p>
      <w:r>
        <w:t xml:space="preserve">- </w:t>
      </w:r>
      <w:r>
        <w:rPr>
          <w:b/>
        </w:rPr>
        <w:t>Capabilities:</w:t>
      </w:r>
      <w:r>
        <w:t xml:space="preserve"> Aerospace, defense electronics, cyber, space systems</w:t>
      </w:r>
    </w:p>
    <w:p>
      <w:r>
        <w:t xml:space="preserve">- </w:t>
      </w:r>
      <w:r>
        <w:rPr>
          <w:b/>
        </w:rPr>
        <w:t>China Exposure:</w:t>
      </w:r>
      <w:r>
        <w:t xml:space="preserve"> Beijing subsidiary creates triangle risk</w:t>
      </w:r>
    </w:p>
    <w:p>
      <w:r>
        <w:t xml:space="preserve">- </w:t>
      </w:r>
      <w:r>
        <w:rPr>
          <w:b/>
        </w:rPr>
        <w:t>LEI:</w:t>
      </w:r>
      <w:r>
        <w:t xml:space="preserve"> 549300RYRRNDMB5GCF59</w:t>
      </w:r>
    </w:p>
    <w:p>
      <w:pPr>
        <w:pStyle w:val="Heading3"/>
      </w:pPr>
      <w:r>
        <w:t>Critical University Nodes</w:t>
      </w:r>
    </w:p>
    <w:p>
      <w:pPr>
        <w:pStyle w:val="ListBullet"/>
      </w:pPr>
      <w:r>
        <w:t>Politecnico di Milano**</w:t>
      </w:r>
    </w:p>
    <w:p>
      <w:r>
        <w:t xml:space="preserve">- </w:t>
      </w:r>
      <w:r>
        <w:rPr>
          <w:b/>
        </w:rPr>
        <w:t>Student Body:</w:t>
      </w:r>
      <w:r>
        <w:t xml:space="preserve"> 47,000 students</w:t>
      </w:r>
    </w:p>
    <w:p>
      <w:r>
        <w:t xml:space="preserve">- </w:t>
      </w:r>
      <w:r>
        <w:rPr>
          <w:b/>
        </w:rPr>
        <w:t>Defense Relevance:</w:t>
      </w:r>
      <w:r>
        <w:t xml:space="preserve"> High (aerospace, AI/ML, materials)</w:t>
      </w:r>
    </w:p>
    <w:p>
      <w:r>
        <w:t xml:space="preserve">- </w:t>
      </w:r>
      <w:r>
        <w:rPr>
          <w:b/>
        </w:rPr>
        <w:t>China Partnerships:</w:t>
      </w:r>
      <w:r>
        <w:t xml:space="preserve"> Strategic partnership with Tsinghua University</w:t>
      </w:r>
    </w:p>
    <w:p>
      <w:r>
        <w:t xml:space="preserve">- </w:t>
      </w:r>
      <w:r>
        <w:rPr>
          <w:b/>
        </w:rPr>
        <w:t>Risk Assessment:</w:t>
      </w:r>
      <w:r>
        <w:t xml:space="preserve"> Critical triangle exposure through student/faculty exchanges</w:t>
      </w:r>
    </w:p>
    <w:p>
      <w:r>
        <w:t xml:space="preserve">- </w:t>
      </w:r>
      <w:r>
        <w:rPr>
          <w:b/>
        </w:rPr>
        <w:t>ROR ID:</w:t>
      </w:r>
      <w:r>
        <w:t xml:space="preserve"> 01nffqt88</w:t>
      </w:r>
    </w:p>
    <w:p>
      <w:pPr>
        <w:pStyle w:val="ListBullet"/>
      </w:pPr>
      <w:r>
        <w:t>Sapienza University Rome**</w:t>
      </w:r>
    </w:p>
    <w:p>
      <w:r>
        <w:t xml:space="preserve">- </w:t>
      </w:r>
      <w:r>
        <w:rPr>
          <w:b/>
        </w:rPr>
        <w:t>Strengths:</w:t>
      </w:r>
      <w:r>
        <w:t xml:space="preserve"> Nuclear physics, AI, earth observation</w:t>
      </w:r>
    </w:p>
    <w:p>
      <w:r>
        <w:t xml:space="preserve">- </w:t>
      </w:r>
      <w:r>
        <w:rPr>
          <w:b/>
        </w:rPr>
        <w:t>China Risk:</w:t>
      </w:r>
      <w:r>
        <w:t xml:space="preserve"> Co-authorship patterns with PRC researchers in AI/ML</w:t>
      </w:r>
    </w:p>
    <w:p>
      <w:r>
        <w:t xml:space="preserve">- </w:t>
      </w:r>
      <w:r>
        <w:rPr>
          <w:b/>
        </w:rPr>
        <w:t>Notable Feature:</w:t>
      </w:r>
      <w:r>
        <w:t xml:space="preserve"> Active Confucius Institute since 2007</w:t>
      </w:r>
    </w:p>
    <w:p>
      <w:r>
        <w:t xml:space="preserve">- </w:t>
      </w:r>
      <w:r>
        <w:rPr>
          <w:b/>
        </w:rPr>
        <w:t>Security Concern:</w:t>
      </w:r>
      <w:r>
        <w:t xml:space="preserve"> Large Chinese student population with unclear vetting</w:t>
      </w:r>
    </w:p>
    <w:p>
      <w:pPr>
        <w:pStyle w:val="Heading1"/>
      </w:pPr>
      <w:r>
        <w:t>Collaboration Network Analysis</w:t>
      </w:r>
    </w:p>
    <w:p>
      <w:pPr>
        <w:pStyle w:val="Heading2"/>
      </w:pPr>
      <w:r>
        <w:t>International Co-Authorship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Country</w:t>
            </w:r>
          </w:p>
        </w:tc>
        <w:tc>
          <w:tcPr>
            <w:tcW w:type="dxa" w:w="2160"/>
          </w:tcPr>
          <w:p>
            <w:r>
              <w:rPr>
                <w:b/>
              </w:rPr>
              <w:t>Publications (2023)</w:t>
            </w:r>
          </w:p>
        </w:tc>
        <w:tc>
          <w:tcPr>
            <w:tcW w:type="dxa" w:w="2160"/>
          </w:tcPr>
          <w:p>
            <w:r>
              <w:rPr>
                <w:b/>
              </w:rPr>
              <w:t>Growth Rate</w:t>
            </w:r>
          </w:p>
        </w:tc>
        <w:tc>
          <w:tcPr>
            <w:tcW w:type="dxa" w:w="2160"/>
          </w:tcPr>
          <w:p>
            <w:r>
              <w:rPr>
                <w:b/>
              </w:rPr>
              <w:t>Risk Assessment</w:t>
            </w:r>
          </w:p>
        </w:tc>
      </w:tr>
      <w:tr>
        <w:tc>
          <w:tcPr>
            <w:tcW w:type="dxa" w:w="2160"/>
          </w:tcPr>
          <w:p>
            <w:r>
              <w:t>United States</w:t>
            </w:r>
          </w:p>
        </w:tc>
        <w:tc>
          <w:tcPr>
            <w:tcW w:type="dxa" w:w="2160"/>
          </w:tcPr>
          <w:p>
            <w:r>
              <w:t>8,234</w:t>
            </w:r>
          </w:p>
        </w:tc>
        <w:tc>
          <w:tcPr>
            <w:tcW w:type="dxa" w:w="2160"/>
          </w:tcPr>
          <w:p>
            <w:r>
              <w:t>+12% YoY</w:t>
            </w:r>
          </w:p>
        </w:tc>
        <w:tc>
          <w:tcPr>
            <w:tcW w:type="dxa" w:w="2160"/>
          </w:tcPr>
          <w:p>
            <w:r>
              <w:t>Low risk</w:t>
            </w:r>
          </w:p>
        </w:tc>
      </w:tr>
      <w:tr>
        <w:tc>
          <w:tcPr>
            <w:tcW w:type="dxa" w:w="2160"/>
          </w:tcPr>
          <w:p>
            <w:r>
              <w:t>Germany</w:t>
            </w:r>
          </w:p>
        </w:tc>
        <w:tc>
          <w:tcPr>
            <w:tcW w:type="dxa" w:w="2160"/>
          </w:tcPr>
          <w:p>
            <w:r>
              <w:t>6,123</w:t>
            </w:r>
          </w:p>
        </w:tc>
        <w:tc>
          <w:tcPr>
            <w:tcW w:type="dxa" w:w="2160"/>
          </w:tcPr>
          <w:p>
            <w:r>
              <w:t>+8% YoY</w:t>
            </w:r>
          </w:p>
        </w:tc>
        <w:tc>
          <w:tcPr>
            <w:tcW w:type="dxa" w:w="2160"/>
          </w:tcPr>
          <w:p>
            <w:r>
              <w:t>Low risk</w:t>
            </w:r>
          </w:p>
        </w:tc>
      </w:tr>
      <w:tr>
        <w:tc>
          <w:tcPr>
            <w:tcW w:type="dxa" w:w="2160"/>
          </w:tcPr>
          <w:p>
            <w:r>
              <w:t>France</w:t>
            </w:r>
          </w:p>
        </w:tc>
        <w:tc>
          <w:tcPr>
            <w:tcW w:type="dxa" w:w="2160"/>
          </w:tcPr>
          <w:p>
            <w:r>
              <w:t>5,892</w:t>
            </w:r>
          </w:p>
        </w:tc>
        <w:tc>
          <w:tcPr>
            <w:tcW w:type="dxa" w:w="2160"/>
          </w:tcPr>
          <w:p>
            <w:r>
              <w:t>+15% YoY</w:t>
            </w:r>
          </w:p>
        </w:tc>
        <w:tc>
          <w:tcPr>
            <w:tcW w:type="dxa" w:w="2160"/>
          </w:tcPr>
          <w:p>
            <w:r>
              <w:t>Low risk</w:t>
            </w:r>
          </w:p>
        </w:tc>
      </w:tr>
      <w:tr>
        <w:tc>
          <w:tcPr>
            <w:tcW w:type="dxa" w:w="2160"/>
          </w:tcPr>
          <w:p>
            <w:r>
              <w:t>United Kingdom</w:t>
            </w:r>
          </w:p>
        </w:tc>
        <w:tc>
          <w:tcPr>
            <w:tcW w:type="dxa" w:w="2160"/>
          </w:tcPr>
          <w:p>
            <w:r>
              <w:t>5,234</w:t>
            </w:r>
          </w:p>
        </w:tc>
        <w:tc>
          <w:tcPr>
            <w:tcW w:type="dxa" w:w="2160"/>
          </w:tcPr>
          <w:p>
            <w:r>
              <w:t>+5% YoY</w:t>
            </w:r>
          </w:p>
        </w:tc>
        <w:tc>
          <w:tcPr>
            <w:tcW w:type="dxa" w:w="2160"/>
          </w:tcPr>
          <w:p>
            <w:r>
              <w:t>Low risk</w:t>
            </w:r>
          </w:p>
        </w:tc>
      </w:tr>
      <w:tr>
        <w:tc>
          <w:tcPr>
            <w:tcW w:type="dxa" w:w="2160"/>
          </w:tcPr>
          <w:p>
            <w:r>
              <w:t>**China**</w:t>
            </w:r>
          </w:p>
        </w:tc>
        <w:tc>
          <w:tcPr>
            <w:tcW w:type="dxa" w:w="2160"/>
          </w:tcPr>
          <w:p>
            <w:r>
              <w:t>**3,421**</w:t>
            </w:r>
          </w:p>
        </w:tc>
        <w:tc>
          <w:tcPr>
            <w:tcW w:type="dxa" w:w="2160"/>
          </w:tcPr>
          <w:p>
            <w:r>
              <w:t>**-3% YoY**</w:t>
            </w:r>
          </w:p>
        </w:tc>
        <w:tc>
          <w:tcPr>
            <w:tcW w:type="dxa" w:w="2160"/>
          </w:tcPr>
          <w:p>
            <w:r>
              <w:t>**High risk**</w:t>
            </w:r>
          </w:p>
        </w:tc>
      </w:tr>
    </w:tbl>
    <w:p>
      <w:r/>
      <w:r>
        <w:rPr>
          <w:b/>
        </w:rPr>
        <w:t>Analysis:</w:t>
      </w:r>
      <w:r>
        <w:t xml:space="preserve"> While China represents only the 5th largest collaboration partner, the decline in publications may indicate shifting to more sensitive, less visible partnerships.</w:t>
      </w:r>
    </w:p>
    <w:p>
      <w:pPr>
        <w:pStyle w:val="Heading2"/>
      </w:pPr>
      <w:r>
        <w:t>Joint Patent Activities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Partner Country</w:t>
            </w:r>
          </w:p>
        </w:tc>
        <w:tc>
          <w:tcPr>
            <w:tcW w:type="dxa" w:w="2880"/>
          </w:tcPr>
          <w:p>
            <w:r>
              <w:rPr>
                <w:b/>
              </w:rPr>
              <w:t>Joint Patents (2023)</w:t>
            </w:r>
          </w:p>
        </w:tc>
        <w:tc>
          <w:tcPr>
            <w:tcW w:type="dxa" w:w="2880"/>
          </w:tcPr>
          <w:p>
            <w:r>
              <w:rPr>
                <w:b/>
              </w:rPr>
              <w:t>Strategic Significance</w:t>
            </w:r>
          </w:p>
        </w:tc>
      </w:tr>
      <w:tr>
        <w:tc>
          <w:tcPr>
            <w:tcW w:type="dxa" w:w="2880"/>
          </w:tcPr>
          <w:p>
            <w:r>
              <w:t>Germany</w:t>
            </w:r>
          </w:p>
        </w:tc>
        <w:tc>
          <w:tcPr>
            <w:tcW w:type="dxa" w:w="2880"/>
          </w:tcPr>
          <w:p>
            <w:r>
              <w:t>67</w:t>
            </w:r>
          </w:p>
        </w:tc>
        <w:tc>
          <w:tcPr>
            <w:tcW w:type="dxa" w:w="2880"/>
          </w:tcPr>
          <w:p>
            <w:r>
              <w:t>Industrial technology</w:t>
            </w:r>
          </w:p>
        </w:tc>
      </w:tr>
      <w:tr>
        <w:tc>
          <w:tcPr>
            <w:tcW w:type="dxa" w:w="2880"/>
          </w:tcPr>
          <w:p>
            <w:r>
              <w:t>France</w:t>
            </w:r>
          </w:p>
        </w:tc>
        <w:tc>
          <w:tcPr>
            <w:tcW w:type="dxa" w:w="2880"/>
          </w:tcPr>
          <w:p>
            <w:r>
              <w:t>45</w:t>
            </w:r>
          </w:p>
        </w:tc>
        <w:tc>
          <w:tcPr>
            <w:tcW w:type="dxa" w:w="2880"/>
          </w:tcPr>
          <w:p>
            <w:r>
              <w:t>Aerospace, defense</w:t>
            </w:r>
          </w:p>
        </w:tc>
      </w:tr>
      <w:tr>
        <w:tc>
          <w:tcPr>
            <w:tcW w:type="dxa" w:w="2880"/>
          </w:tcPr>
          <w:p>
            <w:r>
              <w:t>United States</w:t>
            </w:r>
          </w:p>
        </w:tc>
        <w:tc>
          <w:tcPr>
            <w:tcW w:type="dxa" w:w="2880"/>
          </w:tcPr>
          <w:p>
            <w:r>
              <w:t>38</w:t>
            </w:r>
          </w:p>
        </w:tc>
        <w:tc>
          <w:tcPr>
            <w:tcW w:type="dxa" w:w="2880"/>
          </w:tcPr>
          <w:p>
            <w:r>
              <w:t>Advanced technologies</w:t>
            </w:r>
          </w:p>
        </w:tc>
      </w:tr>
      <w:tr>
        <w:tc>
          <w:tcPr>
            <w:tcW w:type="dxa" w:w="2880"/>
          </w:tcPr>
          <w:p>
            <w:r>
              <w:t>**China**</w:t>
            </w:r>
          </w:p>
        </w:tc>
        <w:tc>
          <w:tcPr>
            <w:tcW w:type="dxa" w:w="2880"/>
          </w:tcPr>
          <w:p>
            <w:r>
              <w:t>**Limited data**</w:t>
            </w:r>
          </w:p>
        </w:tc>
        <w:tc>
          <w:tcPr>
            <w:tcW w:type="dxa" w:w="2880"/>
          </w:tcPr>
          <w:p>
            <w:r>
              <w:t>**Potential gap in tracking**</w:t>
            </w:r>
          </w:p>
        </w:tc>
      </w:tr>
    </w:tbl>
    <w:p>
      <w:pPr>
        <w:pStyle w:val="Heading2"/>
      </w:pPr>
      <w:r>
        <w:t>EU Program Participation</w:t>
      </w:r>
    </w:p>
    <w:p>
      <w:r/>
      <w:r>
        <w:rPr>
          <w:b/>
        </w:rPr>
        <w:t>Horizon Europe Performance:</w:t>
      </w:r>
      <w:r/>
    </w:p>
    <w:p>
      <w:r>
        <w:t xml:space="preserve">- </w:t>
      </w:r>
      <w:r>
        <w:rPr>
          <w:b/>
        </w:rPr>
        <w:t>Participations:</w:t>
      </w:r>
      <w:r>
        <w:t xml:space="preserve"> 1,823 projects</w:t>
      </w:r>
    </w:p>
    <w:p>
      <w:r>
        <w:t xml:space="preserve">- </w:t>
      </w:r>
      <w:r>
        <w:rPr>
          <w:b/>
        </w:rPr>
        <w:t>Coordinator Role:</w:t>
      </w:r>
      <w:r>
        <w:t xml:space="preserve"> 234 projects (leadership capability)</w:t>
      </w:r>
    </w:p>
    <w:p>
      <w:r>
        <w:t xml:space="preserve">- </w:t>
      </w:r>
      <w:r>
        <w:rPr>
          <w:b/>
        </w:rPr>
        <w:t>Funding Received:</w:t>
      </w:r>
      <w:r>
        <w:t xml:space="preserve"> €892M</w:t>
      </w:r>
    </w:p>
    <w:p>
      <w:r>
        <w:t xml:space="preserve">- </w:t>
      </w:r>
      <w:r>
        <w:rPr>
          <w:b/>
        </w:rPr>
        <w:t>Assessment:</w:t>
      </w:r>
      <w:r>
        <w:t xml:space="preserve"> Strong integration with EU research ecosystem</w:t>
      </w:r>
    </w:p>
    <w:p>
      <w:r/>
      <w:r>
        <w:rPr>
          <w:b/>
        </w:rPr>
        <w:t>European Defence Fund:</w:t>
      </w:r>
      <w:r/>
    </w:p>
    <w:p>
      <w:r>
        <w:t xml:space="preserve">- </w:t>
      </w:r>
      <w:r>
        <w:rPr>
          <w:b/>
        </w:rPr>
        <w:t>Projects:</w:t>
      </w:r>
      <w:r>
        <w:t xml:space="preserve"> 23 defense-relevant projects</w:t>
      </w:r>
    </w:p>
    <w:p>
      <w:r>
        <w:t xml:space="preserve">- </w:t>
      </w:r>
      <w:r>
        <w:rPr>
          <w:b/>
        </w:rPr>
        <w:t>Leonardo Leadership:</w:t>
      </w:r>
      <w:r>
        <w:t xml:space="preserve"> 8 projects led by Leonardo</w:t>
      </w:r>
    </w:p>
    <w:p>
      <w:r>
        <w:t xml:space="preserve">- </w:t>
      </w:r>
      <w:r>
        <w:rPr>
          <w:b/>
        </w:rPr>
        <w:t>Total Value:</w:t>
      </w:r>
      <w:r>
        <w:t xml:space="preserve"> €234M</w:t>
      </w:r>
    </w:p>
    <w:p>
      <w:r>
        <w:t xml:space="preserve">- </w:t>
      </w:r>
      <w:r>
        <w:rPr>
          <w:b/>
        </w:rPr>
        <w:t>Strategic Significance:</w:t>
      </w:r>
      <w:r>
        <w:t xml:space="preserve"> Critical for NATO interoperability</w:t>
      </w:r>
    </w:p>
    <w:p>
      <w:pPr>
        <w:pStyle w:val="Heading1"/>
      </w:pPr>
      <w:r>
        <w:t>Conference-Based Technology Transfer Analysis</w:t>
      </w:r>
    </w:p>
    <w:p>
      <w:pPr>
        <w:pStyle w:val="Heading2"/>
      </w:pPr>
      <w:r>
        <w:t>High-Risk Conference Networks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Conference</w:t>
            </w:r>
          </w:p>
        </w:tc>
        <w:tc>
          <w:tcPr>
            <w:tcW w:type="dxa" w:w="1728"/>
          </w:tcPr>
          <w:p>
            <w:r>
              <w:rPr>
                <w:b/>
              </w:rPr>
              <w:t>Italian Participation</w:t>
            </w:r>
          </w:p>
        </w:tc>
        <w:tc>
          <w:tcPr>
            <w:tcW w:type="dxa" w:w="1728"/>
          </w:tcPr>
          <w:p>
            <w:r>
              <w:rPr>
                <w:b/>
              </w:rPr>
              <w:t>PRC Presence</w:t>
            </w:r>
          </w:p>
        </w:tc>
        <w:tc>
          <w:tcPr>
            <w:tcW w:type="dxa" w:w="1728"/>
          </w:tcPr>
          <w:p>
            <w:r>
              <w:rPr>
                <w:b/>
              </w:rPr>
              <w:t>Technology Exposure</w:t>
            </w:r>
          </w:p>
        </w:tc>
        <w:tc>
          <w:tcPr>
            <w:tcW w:type="dxa" w:w="1728"/>
          </w:tcPr>
          <w:p>
            <w:r>
              <w:rPr>
                <w:b/>
              </w:rPr>
              <w:t>Risk Level</w:t>
            </w:r>
          </w:p>
        </w:tc>
      </w:tr>
      <w:tr>
        <w:tc>
          <w:tcPr>
            <w:tcW w:type="dxa" w:w="1728"/>
          </w:tcPr>
          <w:p>
            <w:r>
              <w:t>IAC (Astronautical Congress)</w:t>
            </w:r>
          </w:p>
        </w:tc>
        <w:tc>
          <w:tcPr>
            <w:tcW w:type="dxa" w:w="1728"/>
          </w:tcPr>
          <w:p>
            <w:r>
              <w:t>ASI, Telespazio</w:t>
            </w:r>
          </w:p>
        </w:tc>
        <w:tc>
          <w:tcPr>
            <w:tcW w:type="dxa" w:w="1728"/>
          </w:tcPr>
          <w:p>
            <w:r>
              <w:t>CNSA delegations</w:t>
            </w:r>
          </w:p>
        </w:tc>
        <w:tc>
          <w:tcPr>
            <w:tcW w:type="dxa" w:w="1728"/>
          </w:tcPr>
          <w:p>
            <w:r>
              <w:t>Space/EO systems</w:t>
            </w:r>
          </w:p>
        </w:tc>
        <w:tc>
          <w:tcPr>
            <w:tcW w:type="dxa" w:w="1728"/>
          </w:tcPr>
          <w:p>
            <w:r>
              <w:t>HIGH</w:t>
            </w:r>
          </w:p>
        </w:tc>
      </w:tr>
      <w:tr>
        <w:tc>
          <w:tcPr>
            <w:tcW w:type="dxa" w:w="1728"/>
          </w:tcPr>
          <w:p>
            <w:r>
              <w:t>ICRA/IROS Robotics</w:t>
            </w:r>
          </w:p>
        </w:tc>
        <w:tc>
          <w:tcPr>
            <w:tcW w:type="dxa" w:w="1728"/>
          </w:tcPr>
          <w:p>
            <w:r>
              <w:t>IIT, Sant'Anna Pisa</w:t>
            </w:r>
          </w:p>
        </w:tc>
        <w:tc>
          <w:tcPr>
            <w:tcW w:type="dxa" w:w="1728"/>
          </w:tcPr>
          <w:p>
            <w:r>
              <w:t>PRC labs</w:t>
            </w:r>
          </w:p>
        </w:tc>
        <w:tc>
          <w:tcPr>
            <w:tcW w:type="dxa" w:w="1728"/>
          </w:tcPr>
          <w:p>
            <w:r>
              <w:t>Robotics algorithms</w:t>
            </w:r>
          </w:p>
        </w:tc>
        <w:tc>
          <w:tcPr>
            <w:tcW w:type="dxa" w:w="1728"/>
          </w:tcPr>
          <w:p>
            <w:r>
              <w:t>HIGH</w:t>
            </w:r>
          </w:p>
        </w:tc>
      </w:tr>
      <w:tr>
        <w:tc>
          <w:tcPr>
            <w:tcW w:type="dxa" w:w="1728"/>
          </w:tcPr>
          <w:p>
            <w:r>
              <w:t>SEMICON Europa</w:t>
            </w:r>
          </w:p>
        </w:tc>
        <w:tc>
          <w:tcPr>
            <w:tcW w:type="dxa" w:w="1728"/>
          </w:tcPr>
          <w:p>
            <w:r>
              <w:t>STMicroelectronics</w:t>
            </w:r>
          </w:p>
        </w:tc>
        <w:tc>
          <w:tcPr>
            <w:tcW w:type="dxa" w:w="1728"/>
          </w:tcPr>
          <w:p>
            <w:r>
              <w:t>PRC fabs</w:t>
            </w:r>
          </w:p>
        </w:tc>
        <w:tc>
          <w:tcPr>
            <w:tcW w:type="dxa" w:w="1728"/>
          </w:tcPr>
          <w:p>
            <w:r>
              <w:t>Semiconductor tech</w:t>
            </w:r>
          </w:p>
        </w:tc>
        <w:tc>
          <w:tcPr>
            <w:tcW w:type="dxa" w:w="1728"/>
          </w:tcPr>
          <w:p>
            <w:r>
              <w:t>MEDIUM-HIGH</w:t>
            </w:r>
          </w:p>
        </w:tc>
      </w:tr>
      <w:tr>
        <w:tc>
          <w:tcPr>
            <w:tcW w:type="dxa" w:w="1728"/>
          </w:tcPr>
          <w:p>
            <w:r>
              <w:t>Q2B/EQTC Quantum</w:t>
            </w:r>
          </w:p>
        </w:tc>
        <w:tc>
          <w:tcPr>
            <w:tcW w:type="dxa" w:w="1728"/>
          </w:tcPr>
          <w:p>
            <w:r>
              <w:t>CINECA, Bologna</w:t>
            </w:r>
          </w:p>
        </w:tc>
        <w:tc>
          <w:tcPr>
            <w:tcW w:type="dxa" w:w="1728"/>
          </w:tcPr>
          <w:p>
            <w:r>
              <w:t>PRC research teams</w:t>
            </w:r>
          </w:p>
        </w:tc>
        <w:tc>
          <w:tcPr>
            <w:tcW w:type="dxa" w:w="1728"/>
          </w:tcPr>
          <w:p>
            <w:r>
              <w:t>Quantum computing</w:t>
            </w:r>
          </w:p>
        </w:tc>
        <w:tc>
          <w:tcPr>
            <w:tcW w:type="dxa" w:w="1728"/>
          </w:tcPr>
          <w:p>
            <w:r>
              <w:t>MEDIUM-HIGH</w:t>
            </w:r>
          </w:p>
        </w:tc>
      </w:tr>
    </w:tbl>
    <w:p>
      <w:pPr>
        <w:pStyle w:val="Heading2"/>
      </w:pPr>
      <w:r>
        <w:t>Documented Conference Outcomes</w:t>
      </w:r>
    </w:p>
    <w:p>
      <w:r>
        <w:t xml:space="preserve">1. </w:t>
      </w:r>
      <w:r>
        <w:rPr>
          <w:b/>
        </w:rPr>
        <w:t>ASI-CNSA MoUs:</w:t>
      </w:r>
      <w:r>
        <w:t xml:space="preserve"> Signed at IAC 2020-2023, details largely undisclosed</w:t>
      </w:r>
    </w:p>
    <w:p>
      <w:r>
        <w:t xml:space="preserve">2. </w:t>
      </w:r>
      <w:r>
        <w:rPr>
          <w:b/>
        </w:rPr>
        <w:t>Joint Publications:</w:t>
      </w:r>
      <w:r>
        <w:t xml:space="preserve"> At least two ICRA/IROS papers resulted from IIT-PRC side meetings</w:t>
      </w:r>
    </w:p>
    <w:p>
      <w:r>
        <w:t xml:space="preserve">3. </w:t>
      </w:r>
      <w:r>
        <w:rPr>
          <w:b/>
        </w:rPr>
        <w:t>Exploratory Talks:</w:t>
      </w:r>
      <w:r>
        <w:t xml:space="preserve"> STMicroelectronics-PRC fab discussions at SEMICON Europa</w:t>
      </w:r>
    </w:p>
    <w:p>
      <w:r>
        <w:t xml:space="preserve">4. </w:t>
      </w:r>
      <w:r>
        <w:rPr>
          <w:b/>
        </w:rPr>
        <w:t>Knowledge Exchange:</w:t>
      </w:r>
      <w:r>
        <w:t xml:space="preserve"> CINECA-PRC quantum research panel participation</w:t>
      </w:r>
    </w:p>
    <w:p>
      <w:pPr>
        <w:pStyle w:val="Heading1"/>
      </w:pPr>
      <w:r>
        <w:t>Talent Flow Assessment</w:t>
      </w:r>
    </w:p>
    <w:p>
      <w:pPr>
        <w:pStyle w:val="Heading2"/>
      </w:pPr>
      <w:r>
        <w:t>Academic Exchange Patterns</w:t>
      </w:r>
    </w:p>
    <w:p>
      <w:r/>
      <w:r>
        <w:rPr>
          <w:b/>
        </w:rPr>
        <w:t>Outbound Italian Researchers:</w:t>
      </w:r>
      <w:r/>
    </w:p>
    <w:p>
      <w:r>
        <w:t xml:space="preserve">- </w:t>
      </w:r>
      <w:r>
        <w:rPr>
          <w:b/>
        </w:rPr>
        <w:t>Primary Destinations:</w:t>
      </w:r>
      <w:r>
        <w:t xml:space="preserve"> Tsinghua University, Chinese Academy of Sciences</w:t>
      </w:r>
    </w:p>
    <w:p>
      <w:r>
        <w:t xml:space="preserve">- </w:t>
      </w:r>
      <w:r>
        <w:rPr>
          <w:b/>
        </w:rPr>
        <w:t>Disciplines:</w:t>
      </w:r>
      <w:r>
        <w:t xml:space="preserve"> Robotics, quantum computing, materials science</w:t>
      </w:r>
    </w:p>
    <w:p>
      <w:r>
        <w:t xml:space="preserve">- </w:t>
      </w:r>
      <w:r>
        <w:rPr>
          <w:b/>
        </w:rPr>
        <w:t>Risk Factor:</w:t>
      </w:r>
      <w:r>
        <w:t xml:space="preserve"> Italian PhDs gaining access to advanced PRC research facilities</w:t>
      </w:r>
    </w:p>
    <w:p>
      <w:r>
        <w:t xml:space="preserve">- </w:t>
      </w:r>
      <w:r>
        <w:rPr>
          <w:b/>
        </w:rPr>
        <w:t>Oversight Gap:</w:t>
      </w:r>
      <w:r>
        <w:t xml:space="preserve"> No central reporting mechanism</w:t>
      </w:r>
    </w:p>
    <w:p>
      <w:r/>
      <w:r>
        <w:rPr>
          <w:b/>
        </w:rPr>
        <w:t>Inbound Chinese Researchers:</w:t>
      </w:r>
      <w:r/>
    </w:p>
    <w:p>
      <w:r>
        <w:t xml:space="preserve">- </w:t>
      </w:r>
      <w:r>
        <w:rPr>
          <w:b/>
        </w:rPr>
        <w:t>Key Destinations:</w:t>
      </w:r>
      <w:r>
        <w:t xml:space="preserve"> Sant'Anna Pisa, IIT Genoa, CNR institutes</w:t>
      </w:r>
    </w:p>
    <w:p>
      <w:r>
        <w:t xml:space="preserve">- </w:t>
      </w:r>
      <w:r>
        <w:rPr>
          <w:b/>
        </w:rPr>
        <w:t>Programs:</w:t>
      </w:r>
      <w:r>
        <w:t xml:space="preserve"> EU exchange programs, visiting scholar positions</w:t>
      </w:r>
    </w:p>
    <w:p>
      <w:r>
        <w:t xml:space="preserve">- </w:t>
      </w:r>
      <w:r>
        <w:rPr>
          <w:b/>
        </w:rPr>
        <w:t>Vetting Status:</w:t>
      </w:r>
      <w:r>
        <w:t xml:space="preserve"> Inconsistent security screening</w:t>
      </w:r>
    </w:p>
    <w:p>
      <w:r>
        <w:t xml:space="preserve">- </w:t>
      </w:r>
      <w:r>
        <w:rPr>
          <w:b/>
        </w:rPr>
        <w:t>Duration:</w:t>
      </w:r>
      <w:r>
        <w:t xml:space="preserve"> Typically 6-24 months (sufficient for technology transfer)</w:t>
      </w:r>
    </w:p>
    <w:p>
      <w:pPr>
        <w:pStyle w:val="Heading2"/>
      </w:pPr>
      <w:r>
        <w:t>Brain Circulation Risks</w:t>
      </w:r>
    </w:p>
    <w:p>
      <w:r>
        <w:t xml:space="preserve">1. </w:t>
      </w:r>
      <w:r>
        <w:rPr>
          <w:b/>
        </w:rPr>
        <w:t>Knowledge Networks:</w:t>
      </w:r>
      <w:r>
        <w:t xml:space="preserve"> Create valuable research connections but increase leakage risk</w:t>
      </w:r>
    </w:p>
    <w:p>
      <w:r>
        <w:t xml:space="preserve">2. </w:t>
      </w:r>
      <w:r>
        <w:rPr>
          <w:b/>
        </w:rPr>
        <w:t>Return Pathway:</w:t>
      </w:r>
      <w:r>
        <w:t xml:space="preserve"> Chinese researchers returning with Italian technology insights</w:t>
      </w:r>
    </w:p>
    <w:p>
      <w:r>
        <w:t xml:space="preserve">3. </w:t>
      </w:r>
      <w:r>
        <w:rPr>
          <w:b/>
        </w:rPr>
        <w:t>Ongoing Access:</w:t>
      </w:r>
      <w:r>
        <w:t xml:space="preserve"> Maintained relationships enable continued information flow</w:t>
      </w:r>
    </w:p>
    <w:p>
      <w:r>
        <w:t xml:space="preserve">4. </w:t>
      </w:r>
      <w:r>
        <w:rPr>
          <w:b/>
        </w:rPr>
        <w:t>Multiplier Effect:</w:t>
      </w:r>
      <w:r>
        <w:t xml:space="preserve"> Single researcher can provide access to multiple Italian institutions</w:t>
      </w:r>
    </w:p>
    <w:p>
      <w:pPr>
        <w:pStyle w:val="Heading1"/>
      </w:pPr>
      <w:r>
        <w:t>China Institutional Ties Assessment</w:t>
      </w:r>
    </w:p>
    <w:p>
      <w:pPr>
        <w:pStyle w:val="Heading2"/>
      </w:pPr>
      <w:r>
        <w:t>Documented Partnerships</w:t>
      </w:r>
    </w:p>
    <w:p>
      <w:r/>
      <w:r>
        <w:rPr>
          <w:b/>
        </w:rPr>
        <w:t>Direct MoUs Identified:</w:t>
      </w:r>
      <w:r/>
    </w:p>
    <w:p>
      <w:r>
        <w:t xml:space="preserve">1. </w:t>
      </w:r>
      <w:r>
        <w:rPr>
          <w:b/>
        </w:rPr>
        <w:t>ASI-CNSA:</w:t>
      </w:r>
      <w:r>
        <w:t xml:space="preserve"> Space agency collaboration agreements</w:t>
      </w:r>
    </w:p>
    <w:p>
      <w:r>
        <w:t xml:space="preserve">2. </w:t>
      </w:r>
      <w:r>
        <w:rPr>
          <w:b/>
        </w:rPr>
        <w:t>Sant'Anna-PRC Universities:</w:t>
      </w:r>
      <w:r>
        <w:t xml:space="preserve"> Robotics research partnerships</w:t>
      </w:r>
    </w:p>
    <w:p>
      <w:r>
        <w:t xml:space="preserve">3. </w:t>
      </w:r>
      <w:r>
        <w:rPr>
          <w:b/>
        </w:rPr>
        <w:t>Sapienza-CAS:</w:t>
      </w:r>
      <w:r>
        <w:t xml:space="preserve"> Physics and materials science MoUs</w:t>
      </w:r>
    </w:p>
    <w:p>
      <w:r>
        <w:t xml:space="preserve">4. </w:t>
      </w:r>
      <w:r>
        <w:rPr>
          <w:b/>
        </w:rPr>
        <w:t>CNR-Chinese Academy:</w:t>
      </w:r>
      <w:r>
        <w:t xml:space="preserve"> Multiple institute-level agreements</w:t>
      </w:r>
    </w:p>
    <w:p>
      <w:r/>
      <w:r>
        <w:rPr>
          <w:b/>
        </w:rPr>
        <w:t>Joint Laboratory Arrangements:</w:t>
      </w:r>
      <w:r/>
    </w:p>
    <w:p>
      <w:r>
        <w:t xml:space="preserve">- </w:t>
      </w:r>
      <w:r>
        <w:rPr>
          <w:b/>
        </w:rPr>
        <w:t>IIT-PRC Robotics Labs:</w:t>
      </w:r>
      <w:r>
        <w:t xml:space="preserve"> Co-funding arrangements flagged in 2022 media reports</w:t>
      </w:r>
    </w:p>
    <w:p>
      <w:r>
        <w:t xml:space="preserve">- </w:t>
      </w:r>
      <w:r>
        <w:rPr>
          <w:b/>
        </w:rPr>
        <w:t>University Physics Labs:</w:t>
      </w:r>
      <w:r>
        <w:t xml:space="preserve"> Quantum research collaborations</w:t>
      </w:r>
    </w:p>
    <w:p>
      <w:r>
        <w:t xml:space="preserve">- </w:t>
      </w:r>
      <w:r>
        <w:rPr>
          <w:b/>
        </w:rPr>
        <w:t>Materials Science Centers:</w:t>
      </w:r>
      <w:r>
        <w:t xml:space="preserve"> CNR-CAS joint facilities</w:t>
      </w:r>
    </w:p>
    <w:p>
      <w:pPr>
        <w:pStyle w:val="Heading2"/>
      </w:pPr>
      <w:r>
        <w:t>Spin-off Acquisition Vulnerabilities</w:t>
      </w:r>
    </w:p>
    <w:p>
      <w:r/>
      <w:r>
        <w:rPr>
          <w:b/>
        </w:rPr>
        <w:t>Case Study: IUVO Acquisition</w:t>
      </w:r>
      <w:r/>
    </w:p>
    <w:p>
      <w:r>
        <w:t xml:space="preserve">- </w:t>
      </w:r>
      <w:r>
        <w:rPr>
          <w:b/>
        </w:rPr>
        <w:t>Company:</w:t>
      </w:r>
      <w:r>
        <w:t xml:space="preserve"> Italian exoskeleton technology spin-off from Sant'Anna Pisa</w:t>
      </w:r>
    </w:p>
    <w:p>
      <w:r>
        <w:t xml:space="preserve">- </w:t>
      </w:r>
      <w:r>
        <w:rPr>
          <w:b/>
        </w:rPr>
        <w:t>Acquirer:</w:t>
      </w:r>
      <w:r>
        <w:t xml:space="preserve"> Comau (with potential Chinese LP involvement)</w:t>
      </w:r>
    </w:p>
    <w:p>
      <w:r>
        <w:t xml:space="preserve">- </w:t>
      </w:r>
      <w:r>
        <w:rPr>
          <w:b/>
        </w:rPr>
        <w:t>Risk:</w:t>
      </w:r>
      <w:r>
        <w:t xml:space="preserve"> Technology transfer through acquisition chain</w:t>
      </w:r>
    </w:p>
    <w:p>
      <w:r>
        <w:t xml:space="preserve">- </w:t>
      </w:r>
      <w:r>
        <w:rPr>
          <w:b/>
        </w:rPr>
        <w:t>Oversight Gap:</w:t>
      </w:r>
      <w:r>
        <w:t xml:space="preserve"> Venture capital screening inadequate</w:t>
      </w:r>
    </w:p>
    <w:p>
      <w:pPr>
        <w:pStyle w:val="Heading1"/>
      </w:pPr>
      <w:r>
        <w:t>Technology Capability Assessment</w:t>
      </w:r>
    </w:p>
    <w:p>
      <w:pPr>
        <w:pStyle w:val="Heading2"/>
      </w:pPr>
      <w:r>
        <w:t>Established Strengths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Technology Domain</w:t>
            </w:r>
          </w:p>
        </w:tc>
        <w:tc>
          <w:tcPr>
            <w:tcW w:type="dxa" w:w="2160"/>
          </w:tcPr>
          <w:p>
            <w:r>
              <w:rPr>
                <w:b/>
              </w:rPr>
              <w:t>Global Rank</w:t>
            </w:r>
          </w:p>
        </w:tc>
        <w:tc>
          <w:tcPr>
            <w:tcW w:type="dxa" w:w="2160"/>
          </w:tcPr>
          <w:p>
            <w:r>
              <w:rPr>
                <w:b/>
              </w:rPr>
              <w:t>Key Evidence</w:t>
            </w:r>
          </w:p>
        </w:tc>
        <w:tc>
          <w:tcPr>
            <w:tcW w:type="dxa" w:w="2160"/>
          </w:tcPr>
          <w:p>
            <w:r>
              <w:rPr>
                <w:b/>
              </w:rPr>
              <w:t>Strategic Value to China</w:t>
            </w:r>
          </w:p>
        </w:tc>
      </w:tr>
      <w:tr>
        <w:tc>
          <w:tcPr>
            <w:tcW w:type="dxa" w:w="2160"/>
          </w:tcPr>
          <w:p>
            <w:r>
              <w:t>Space Systems</w:t>
            </w:r>
          </w:p>
        </w:tc>
        <w:tc>
          <w:tcPr>
            <w:tcW w:type="dxa" w:w="2160"/>
          </w:tcPr>
          <w:p>
            <w:r>
              <w:t>7th</w:t>
            </w:r>
          </w:p>
        </w:tc>
        <w:tc>
          <w:tcPr>
            <w:tcW w:type="dxa" w:w="2160"/>
          </w:tcPr>
          <w:p>
            <w:r>
              <w:t>COSMO-SkyMed, Galileo</w:t>
            </w:r>
          </w:p>
        </w:tc>
        <w:tc>
          <w:tcPr>
            <w:tcW w:type="dxa" w:w="2160"/>
          </w:tcPr>
          <w:p>
            <w:r>
              <w:t>CRITICAL</w:t>
            </w:r>
          </w:p>
        </w:tc>
      </w:tr>
      <w:tr>
        <w:tc>
          <w:tcPr>
            <w:tcW w:type="dxa" w:w="2160"/>
          </w:tcPr>
          <w:p>
            <w:r>
              <w:t>Naval Systems</w:t>
            </w:r>
          </w:p>
        </w:tc>
        <w:tc>
          <w:tcPr>
            <w:tcW w:type="dxa" w:w="2160"/>
          </w:tcPr>
          <w:p>
            <w:r>
              <w:t>5th</w:t>
            </w:r>
          </w:p>
        </w:tc>
        <w:tc>
          <w:tcPr>
            <w:tcW w:type="dxa" w:w="2160"/>
          </w:tcPr>
          <w:p>
            <w:r>
              <w:t>FREMM frigates, U212 submarines</w:t>
            </w:r>
          </w:p>
        </w:tc>
        <w:tc>
          <w:tcPr>
            <w:tcW w:type="dxa" w:w="2160"/>
          </w:tcPr>
          <w:p>
            <w:r>
              <w:t>HIGH</w:t>
            </w:r>
          </w:p>
        </w:tc>
      </w:tr>
      <w:tr>
        <w:tc>
          <w:tcPr>
            <w:tcW w:type="dxa" w:w="2160"/>
          </w:tcPr>
          <w:p>
            <w:r>
              <w:t>Helicopters</w:t>
            </w:r>
          </w:p>
        </w:tc>
        <w:tc>
          <w:tcPr>
            <w:tcW w:type="dxa" w:w="2160"/>
          </w:tcPr>
          <w:p>
            <w:r>
              <w:t>3rd</w:t>
            </w:r>
          </w:p>
        </w:tc>
        <w:tc>
          <w:tcPr>
            <w:tcW w:type="dxa" w:w="2160"/>
          </w:tcPr>
          <w:p>
            <w:r>
              <w:t>AW series, NH90</w:t>
            </w:r>
          </w:p>
        </w:tc>
        <w:tc>
          <w:tcPr>
            <w:tcW w:type="dxa" w:w="2160"/>
          </w:tcPr>
          <w:p>
            <w:r>
              <w:t>HIGH</w:t>
            </w:r>
          </w:p>
        </w:tc>
      </w:tr>
      <w:tr>
        <w:tc>
          <w:tcPr>
            <w:tcW w:type="dxa" w:w="2160"/>
          </w:tcPr>
          <w:p>
            <w:r>
              <w:t>Robotics</w:t>
            </w:r>
          </w:p>
        </w:tc>
        <w:tc>
          <w:tcPr>
            <w:tcW w:type="dxa" w:w="2160"/>
          </w:tcPr>
          <w:p>
            <w:r>
              <w:t>4th</w:t>
            </w:r>
          </w:p>
        </w:tc>
        <w:tc>
          <w:tcPr>
            <w:tcW w:type="dxa" w:w="2160"/>
          </w:tcPr>
          <w:p>
            <w:r>
              <w:t>IIT humanoid systems</w:t>
            </w:r>
          </w:p>
        </w:tc>
        <w:tc>
          <w:tcPr>
            <w:tcW w:type="dxa" w:w="2160"/>
          </w:tcPr>
          <w:p>
            <w:r>
              <w:t>CRITICAL</w:t>
            </w:r>
          </w:p>
        </w:tc>
      </w:tr>
    </w:tbl>
    <w:p>
      <w:pPr>
        <w:pStyle w:val="Heading2"/>
      </w:pPr>
      <w:r>
        <w:t>Emerging Capabilities</w:t>
      </w:r>
    </w:p>
    <w:p>
      <w:r/>
      <w:r>
        <w:rPr>
          <w:b/>
        </w:rPr>
        <w:t>Quantum Computing:</w:t>
      </w:r>
      <w:r/>
    </w:p>
    <w:p>
      <w:r>
        <w:t xml:space="preserve">- </w:t>
      </w:r>
      <w:r>
        <w:rPr>
          <w:b/>
        </w:rPr>
        <w:t>Maturity:</w:t>
      </w:r>
      <w:r>
        <w:t xml:space="preserve"> TRL 3-4 (early development)</w:t>
      </w:r>
    </w:p>
    <w:p>
      <w:r>
        <w:t xml:space="preserve">- </w:t>
      </w:r>
      <w:r>
        <w:rPr>
          <w:b/>
        </w:rPr>
        <w:t>Key Players:</w:t>
      </w:r>
      <w:r>
        <w:t xml:space="preserve"> CNR, University of Padua, Leonardo Labs</w:t>
      </w:r>
    </w:p>
    <w:p>
      <w:r>
        <w:t xml:space="preserve">- </w:t>
      </w:r>
      <w:r>
        <w:rPr>
          <w:b/>
        </w:rPr>
        <w:t>Investment:</w:t>
      </w:r>
      <w:r>
        <w:t xml:space="preserve"> €45M in quantum research</w:t>
      </w:r>
    </w:p>
    <w:p>
      <w:r>
        <w:t xml:space="preserve">- </w:t>
      </w:r>
      <w:r>
        <w:rPr>
          <w:b/>
        </w:rPr>
        <w:t>China Interest:</w:t>
      </w:r>
      <w:r>
        <w:t xml:space="preserve"> High (algorithm development, hardware advances)</w:t>
      </w:r>
    </w:p>
    <w:p>
      <w:r/>
      <w:r>
        <w:rPr>
          <w:b/>
        </w:rPr>
        <w:t>Hypersonics:</w:t>
      </w:r>
      <w:r/>
    </w:p>
    <w:p>
      <w:r>
        <w:t xml:space="preserve">- </w:t>
      </w:r>
      <w:r>
        <w:rPr>
          <w:b/>
        </w:rPr>
        <w:t>Maturity:</w:t>
      </w:r>
      <w:r>
        <w:t xml:space="preserve"> TRL 2-3 (research phase)</w:t>
      </w:r>
    </w:p>
    <w:p>
      <w:r>
        <w:t xml:space="preserve">- </w:t>
      </w:r>
      <w:r>
        <w:rPr>
          <w:b/>
        </w:rPr>
        <w:t>Investment:</w:t>
      </w:r>
      <w:r>
        <w:t xml:space="preserve"> Limited funding identified</w:t>
      </w:r>
    </w:p>
    <w:p>
      <w:r>
        <w:t xml:space="preserve">- </w:t>
      </w:r>
      <w:r>
        <w:rPr>
          <w:b/>
        </w:rPr>
        <w:t>Gap:</w:t>
      </w:r>
      <w:r>
        <w:t xml:space="preserve"> Lack of test facilities</w:t>
      </w:r>
    </w:p>
    <w:p>
      <w:r>
        <w:t xml:space="preserve">- </w:t>
      </w:r>
      <w:r>
        <w:rPr>
          <w:b/>
        </w:rPr>
        <w:t>Strategic Concern:</w:t>
      </w:r>
      <w:r>
        <w:t xml:space="preserve"> Technology gap could drive Chinese partnership seeking</w:t>
      </w:r>
    </w:p>
    <w:p>
      <w:pPr>
        <w:pStyle w:val="Heading1"/>
      </w:pPr>
      <w:r>
        <w:t>Strategic Value Assessment to China</w:t>
      </w:r>
    </w:p>
    <w:p>
      <w:pPr>
        <w:pStyle w:val="Heading2"/>
      </w:pPr>
      <w:r>
        <w:t>Leapfrog Potential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Technology Area</w:t>
            </w:r>
          </w:p>
        </w:tc>
        <w:tc>
          <w:tcPr>
            <w:tcW w:type="dxa" w:w="2160"/>
          </w:tcPr>
          <w:p>
            <w:r>
              <w:rPr>
                <w:b/>
              </w:rPr>
              <w:t>Italian Advantage</w:t>
            </w:r>
          </w:p>
        </w:tc>
        <w:tc>
          <w:tcPr>
            <w:tcW w:type="dxa" w:w="2160"/>
          </w:tcPr>
          <w:p>
            <w:r>
              <w:rPr>
                <w:b/>
              </w:rPr>
              <w:t>Chinese Gap</w:t>
            </w:r>
          </w:p>
        </w:tc>
        <w:tc>
          <w:tcPr>
            <w:tcW w:type="dxa" w:w="2160"/>
          </w:tcPr>
          <w:p>
            <w:r>
              <w:rPr>
                <w:b/>
              </w:rPr>
              <w:t>Potential Acceleration</w:t>
            </w:r>
          </w:p>
        </w:tc>
      </w:tr>
      <w:tr>
        <w:tc>
          <w:tcPr>
            <w:tcW w:type="dxa" w:w="2160"/>
          </w:tcPr>
          <w:p>
            <w:r>
              <w:t>Robotics Algorithms</w:t>
            </w:r>
          </w:p>
        </w:tc>
        <w:tc>
          <w:tcPr>
            <w:tcW w:type="dxa" w:w="2160"/>
          </w:tcPr>
          <w:p>
            <w:r>
              <w:t>IIT humanoid systems</w:t>
            </w:r>
          </w:p>
        </w:tc>
        <w:tc>
          <w:tcPr>
            <w:tcW w:type="dxa" w:w="2160"/>
          </w:tcPr>
          <w:p>
            <w:r>
              <w:t>Human-robot interaction</w:t>
            </w:r>
          </w:p>
        </w:tc>
        <w:tc>
          <w:tcPr>
            <w:tcW w:type="dxa" w:w="2160"/>
          </w:tcPr>
          <w:p>
            <w:r>
              <w:t>2-3 years</w:t>
            </w:r>
          </w:p>
        </w:tc>
      </w:tr>
      <w:tr>
        <w:tc>
          <w:tcPr>
            <w:tcW w:type="dxa" w:w="2160"/>
          </w:tcPr>
          <w:p>
            <w:r>
              <w:t>EO/SAR Systems</w:t>
            </w:r>
          </w:p>
        </w:tc>
        <w:tc>
          <w:tcPr>
            <w:tcW w:type="dxa" w:w="2160"/>
          </w:tcPr>
          <w:p>
            <w:r>
              <w:t>COSMO-SkyMed data</w:t>
            </w:r>
          </w:p>
        </w:tc>
        <w:tc>
          <w:tcPr>
            <w:tcW w:type="dxa" w:w="2160"/>
          </w:tcPr>
          <w:p>
            <w:r>
              <w:t>Maritime calibration</w:t>
            </w:r>
          </w:p>
        </w:tc>
        <w:tc>
          <w:tcPr>
            <w:tcW w:type="dxa" w:w="2160"/>
          </w:tcPr>
          <w:p>
            <w:r>
              <w:t>1-3 years</w:t>
            </w:r>
          </w:p>
        </w:tc>
      </w:tr>
      <w:tr>
        <w:tc>
          <w:tcPr>
            <w:tcW w:type="dxa" w:w="2160"/>
          </w:tcPr>
          <w:p>
            <w:r>
              <w:t>SiC Technology</w:t>
            </w:r>
          </w:p>
        </w:tc>
        <w:tc>
          <w:tcPr>
            <w:tcW w:type="dxa" w:w="2160"/>
          </w:tcPr>
          <w:p>
            <w:r>
              <w:t>University research</w:t>
            </w:r>
          </w:p>
        </w:tc>
        <w:tc>
          <w:tcPr>
            <w:tcW w:type="dxa" w:w="2160"/>
          </w:tcPr>
          <w:p>
            <w:r>
              <w:t>Power electronics</w:t>
            </w:r>
          </w:p>
        </w:tc>
        <w:tc>
          <w:tcPr>
            <w:tcW w:type="dxa" w:w="2160"/>
          </w:tcPr>
          <w:p>
            <w:r>
              <w:t>3-5 years → 2-3 years</w:t>
            </w:r>
          </w:p>
        </w:tc>
      </w:tr>
      <w:tr>
        <w:tc>
          <w:tcPr>
            <w:tcW w:type="dxa" w:w="2160"/>
          </w:tcPr>
          <w:p>
            <w:r>
              <w:t>Quantum Software</w:t>
            </w:r>
          </w:p>
        </w:tc>
        <w:tc>
          <w:tcPr>
            <w:tcW w:type="dxa" w:w="2160"/>
          </w:tcPr>
          <w:p>
            <w:r>
              <w:t>Algorithm development</w:t>
            </w:r>
          </w:p>
        </w:tc>
        <w:tc>
          <w:tcPr>
            <w:tcW w:type="dxa" w:w="2160"/>
          </w:tcPr>
          <w:p>
            <w:r>
              <w:t>Software stack</w:t>
            </w:r>
          </w:p>
        </w:tc>
        <w:tc>
          <w:tcPr>
            <w:tcW w:type="dxa" w:w="2160"/>
          </w:tcPr>
          <w:p>
            <w:r>
              <w:t>1-2 years</w:t>
            </w:r>
          </w:p>
        </w:tc>
      </w:tr>
    </w:tbl>
    <w:p>
      <w:pPr>
        <w:pStyle w:val="Heading2"/>
      </w:pPr>
      <w:r>
        <w:t>Capability Gaps China Seeks to Fill</w:t>
      </w:r>
    </w:p>
    <w:p>
      <w:r>
        <w:t xml:space="preserve">1. </w:t>
      </w:r>
      <w:r>
        <w:rPr>
          <w:b/>
        </w:rPr>
        <w:t>Human-Robot Interaction:</w:t>
      </w:r>
      <w:r>
        <w:t xml:space="preserve"> IIT's advanced algorithms for autonomous systems</w:t>
      </w:r>
    </w:p>
    <w:p>
      <w:r>
        <w:t xml:space="preserve">2. </w:t>
      </w:r>
      <w:r>
        <w:rPr>
          <w:b/>
        </w:rPr>
        <w:t>SAR Calibration:</w:t>
      </w:r>
      <w:r>
        <w:t xml:space="preserve"> Earth observation data for maritime surveillance</w:t>
      </w:r>
    </w:p>
    <w:p>
      <w:r>
        <w:t xml:space="preserve">3. </w:t>
      </w:r>
      <w:r>
        <w:rPr>
          <w:b/>
        </w:rPr>
        <w:t>Power Electronics:</w:t>
      </w:r>
      <w:r>
        <w:t xml:space="preserve"> SiC semiconductor research for military applications</w:t>
      </w:r>
    </w:p>
    <w:p>
      <w:r>
        <w:t xml:space="preserve">4. </w:t>
      </w:r>
      <w:r>
        <w:rPr>
          <w:b/>
        </w:rPr>
        <w:t>Quantum Software:</w:t>
      </w:r>
      <w:r>
        <w:t xml:space="preserve"> Superconducting qubit control systems</w:t>
      </w:r>
    </w:p>
    <w:p>
      <w:pPr>
        <w:pStyle w:val="Heading2"/>
      </w:pPr>
      <w:r>
        <w:t>Strategic Value Scoring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Institution Category</w:t>
            </w:r>
          </w:p>
        </w:tc>
        <w:tc>
          <w:tcPr>
            <w:tcW w:type="dxa" w:w="1728"/>
          </w:tcPr>
          <w:p>
            <w:r>
              <w:rPr>
                <w:b/>
              </w:rPr>
              <w:t>Critical (10)</w:t>
            </w:r>
          </w:p>
        </w:tc>
        <w:tc>
          <w:tcPr>
            <w:tcW w:type="dxa" w:w="1728"/>
          </w:tcPr>
          <w:p>
            <w:r>
              <w:rPr>
                <w:b/>
              </w:rPr>
              <w:t>High (5)</w:t>
            </w:r>
          </w:p>
        </w:tc>
        <w:tc>
          <w:tcPr>
            <w:tcW w:type="dxa" w:w="1728"/>
          </w:tcPr>
          <w:p>
            <w:r>
              <w:rPr>
                <w:b/>
              </w:rPr>
              <w:t>Medium (2)</w:t>
            </w:r>
          </w:p>
        </w:tc>
        <w:tc>
          <w:tcPr>
            <w:tcW w:type="dxa" w:w="1728"/>
          </w:tcPr>
          <w:p>
            <w:r>
              <w:rPr>
                <w:b/>
              </w:rPr>
              <w:t>Low (0.5)</w:t>
            </w:r>
          </w:p>
        </w:tc>
      </w:tr>
      <w:tr>
        <w:tc>
          <w:tcPr>
            <w:tcW w:type="dxa" w:w="1728"/>
          </w:tcPr>
          <w:p>
            <w:r>
              <w:t>EO Data Partnerships</w:t>
            </w:r>
          </w:p>
        </w:tc>
        <w:tc>
          <w:tcPr>
            <w:tcW w:type="dxa" w:w="1728"/>
          </w:tcPr>
          <w:p>
            <w:r>
              <w:t>ASI-CNSA MoUs</w:t>
            </w:r>
          </w:p>
        </w:tc>
        <w:tc>
          <w:tcPr>
            <w:tcW w:type="dxa" w:w="1728"/>
          </w:tcPr>
          <w:p/>
        </w:tc>
        <w:tc>
          <w:tcPr>
            <w:tcW w:type="dxa" w:w="1728"/>
          </w:tcPr>
          <w:p/>
        </w:tc>
        <w:tc>
          <w:tcPr>
            <w:tcW w:type="dxa" w:w="1728"/>
          </w:tcPr>
          <w:p/>
        </w:tc>
      </w:tr>
      <w:tr>
        <w:tc>
          <w:tcPr>
            <w:tcW w:type="dxa" w:w="1728"/>
          </w:tcPr>
          <w:p>
            <w:r>
              <w:t>Robotics Spin-offs</w:t>
            </w:r>
          </w:p>
        </w:tc>
        <w:tc>
          <w:tcPr>
            <w:tcW w:type="dxa" w:w="1728"/>
          </w:tcPr>
          <w:p>
            <w:r>
              <w:t>IIT technologies</w:t>
            </w:r>
          </w:p>
        </w:tc>
        <w:tc>
          <w:tcPr>
            <w:tcW w:type="dxa" w:w="1728"/>
          </w:tcPr>
          <w:p/>
        </w:tc>
        <w:tc>
          <w:tcPr>
            <w:tcW w:type="dxa" w:w="1728"/>
          </w:tcPr>
          <w:p/>
        </w:tc>
        <w:tc>
          <w:tcPr>
            <w:tcW w:type="dxa" w:w="1728"/>
          </w:tcPr>
          <w:p/>
        </w:tc>
      </w:tr>
      <w:tr>
        <w:tc>
          <w:tcPr>
            <w:tcW w:type="dxa" w:w="1728"/>
          </w:tcPr>
          <w:p>
            <w:r>
              <w:t>SiC University Research</w:t>
            </w:r>
          </w:p>
        </w:tc>
        <w:tc>
          <w:tcPr>
            <w:tcW w:type="dxa" w:w="1728"/>
          </w:tcPr>
          <w:p>
            <w:r>
              <w:t>STMicroelectronics labs</w:t>
            </w:r>
          </w:p>
        </w:tc>
        <w:tc>
          <w:tcPr>
            <w:tcW w:type="dxa" w:w="1728"/>
          </w:tcPr>
          <w:p/>
        </w:tc>
        <w:tc>
          <w:tcPr>
            <w:tcW w:type="dxa" w:w="1728"/>
          </w:tcPr>
          <w:p/>
        </w:tc>
        <w:tc>
          <w:tcPr>
            <w:tcW w:type="dxa" w:w="1728"/>
          </w:tcPr>
          <w:p/>
        </w:tc>
      </w:tr>
      <w:tr>
        <w:tc>
          <w:tcPr>
            <w:tcW w:type="dxa" w:w="1728"/>
          </w:tcPr>
          <w:p>
            <w:r>
              <w:t>Quantum Algorithms</w:t>
            </w:r>
          </w:p>
        </w:tc>
        <w:tc>
          <w:tcPr>
            <w:tcW w:type="dxa" w:w="1728"/>
          </w:tcPr>
          <w:p>
            <w:r>
              <w:t>CNR institutes</w:t>
            </w:r>
          </w:p>
        </w:tc>
        <w:tc>
          <w:tcPr>
            <w:tcW w:type="dxa" w:w="1728"/>
          </w:tcPr>
          <w:p/>
        </w:tc>
        <w:tc>
          <w:tcPr>
            <w:tcW w:type="dxa" w:w="1728"/>
          </w:tcPr>
          <w:p/>
        </w:tc>
        <w:tc>
          <w:tcPr>
            <w:tcW w:type="dxa" w:w="1728"/>
          </w:tcPr>
          <w:p/>
        </w:tc>
      </w:tr>
      <w:tr>
        <w:tc>
          <w:tcPr>
            <w:tcW w:type="dxa" w:w="1728"/>
          </w:tcPr>
          <w:p>
            <w:r>
              <w:t>General Publications</w:t>
            </w:r>
          </w:p>
        </w:tc>
        <w:tc>
          <w:tcPr>
            <w:tcW w:type="dxa" w:w="1728"/>
          </w:tcPr>
          <w:p>
            <w:r>
              <w:t>Most academic work</w:t>
            </w:r>
          </w:p>
        </w:tc>
        <w:tc>
          <w:tcPr>
            <w:tcW w:type="dxa" w:w="1728"/>
          </w:tcPr>
          <w:p/>
        </w:tc>
        <w:tc>
          <w:tcPr>
            <w:tcW w:type="dxa" w:w="1728"/>
          </w:tcPr>
          <w:p/>
        </w:tc>
        <w:tc>
          <w:tcPr>
            <w:tcW w:type="dxa" w:w="1728"/>
          </w:tcPr>
          <w:p/>
        </w:tc>
      </w:tr>
    </w:tbl>
    <w:p>
      <w:pPr>
        <w:pStyle w:val="Heading1"/>
      </w:pPr>
      <w:r>
        <w:t>Vulnerability Assessment</w:t>
      </w:r>
    </w:p>
    <w:p>
      <w:pPr>
        <w:pStyle w:val="Heading2"/>
      </w:pPr>
      <w:r>
        <w:t>Oversight Gaps</w:t>
      </w:r>
    </w:p>
    <w:p>
      <w:r>
        <w:t xml:space="preserve">1. </w:t>
      </w:r>
      <w:r>
        <w:rPr>
          <w:b/>
        </w:rPr>
        <w:t>No Central MoU Registry:</w:t>
      </w:r>
      <w:r>
        <w:t xml:space="preserve"> International agreements untracked at national level</w:t>
      </w:r>
    </w:p>
    <w:p>
      <w:r>
        <w:t xml:space="preserve">2. </w:t>
      </w:r>
      <w:r>
        <w:rPr>
          <w:b/>
        </w:rPr>
        <w:t>Weak Visitor Vetting:</w:t>
      </w:r>
      <w:r>
        <w:t xml:space="preserve"> Inconsistent screening of inbound researchers</w:t>
      </w:r>
    </w:p>
    <w:p>
      <w:r>
        <w:t xml:space="preserve">3. </w:t>
      </w:r>
      <w:r>
        <w:rPr>
          <w:b/>
        </w:rPr>
        <w:t>Spin-off Blindness:</w:t>
      </w:r>
      <w:r>
        <w:t xml:space="preserve"> Acquisitions not screened for PRC involvement</w:t>
      </w:r>
    </w:p>
    <w:p>
      <w:r>
        <w:t xml:space="preserve">4. </w:t>
      </w:r>
      <w:r>
        <w:rPr>
          <w:b/>
        </w:rPr>
        <w:t>Hidden Funding:</w:t>
      </w:r>
      <w:r>
        <w:t xml:space="preserve"> Academic funding from China often disguised in bilateral projects</w:t>
      </w:r>
    </w:p>
    <w:p>
      <w:pPr>
        <w:pStyle w:val="Heading2"/>
      </w:pPr>
      <w:r>
        <w:t>Exploitation Pathways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Vector</w:t>
            </w:r>
          </w:p>
        </w:tc>
        <w:tc>
          <w:tcPr>
            <w:tcW w:type="dxa" w:w="2160"/>
          </w:tcPr>
          <w:p>
            <w:r>
              <w:rPr>
                <w:b/>
              </w:rPr>
              <w:t>Mechanism</w:t>
            </w:r>
          </w:p>
        </w:tc>
        <w:tc>
          <w:tcPr>
            <w:tcW w:type="dxa" w:w="2160"/>
          </w:tcPr>
          <w:p>
            <w:r>
              <w:rPr>
                <w:b/>
              </w:rPr>
              <w:t>Detection Difficulty</w:t>
            </w:r>
          </w:p>
        </w:tc>
        <w:tc>
          <w:tcPr>
            <w:tcW w:type="dxa" w:w="2160"/>
          </w:tcPr>
          <w:p>
            <w:r>
              <w:rPr>
                <w:b/>
              </w:rPr>
              <w:t>Impact Level</w:t>
            </w:r>
          </w:p>
        </w:tc>
      </w:tr>
      <w:tr>
        <w:tc>
          <w:tcPr>
            <w:tcW w:type="dxa" w:w="2160"/>
          </w:tcPr>
          <w:p>
            <w:r>
              <w:t>Conference Networking</w:t>
            </w:r>
          </w:p>
        </w:tc>
        <w:tc>
          <w:tcPr>
            <w:tcW w:type="dxa" w:w="2160"/>
          </w:tcPr>
          <w:p>
            <w:r>
              <w:t>Direct contact at events</w:t>
            </w:r>
          </w:p>
        </w:tc>
        <w:tc>
          <w:tcPr>
            <w:tcW w:type="dxa" w:w="2160"/>
          </w:tcPr>
          <w:p>
            <w:r>
              <w:t>LOW</w:t>
            </w:r>
          </w:p>
        </w:tc>
        <w:tc>
          <w:tcPr>
            <w:tcW w:type="dxa" w:w="2160"/>
          </w:tcPr>
          <w:p>
            <w:r>
              <w:t>HIGH</w:t>
            </w:r>
          </w:p>
        </w:tc>
      </w:tr>
      <w:tr>
        <w:tc>
          <w:tcPr>
            <w:tcW w:type="dxa" w:w="2160"/>
          </w:tcPr>
          <w:p>
            <w:r>
              <w:t>MoU Signing</w:t>
            </w:r>
          </w:p>
        </w:tc>
        <w:tc>
          <w:tcPr>
            <w:tcW w:type="dxa" w:w="2160"/>
          </w:tcPr>
          <w:p>
            <w:r>
              <w:t>Side agreements at conferences</w:t>
            </w:r>
          </w:p>
        </w:tc>
        <w:tc>
          <w:tcPr>
            <w:tcW w:type="dxa" w:w="2160"/>
          </w:tcPr>
          <w:p>
            <w:r>
              <w:t>MEDIUM</w:t>
            </w:r>
          </w:p>
        </w:tc>
        <w:tc>
          <w:tcPr>
            <w:tcW w:type="dxa" w:w="2160"/>
          </w:tcPr>
          <w:p>
            <w:r>
              <w:t>CRITICAL</w:t>
            </w:r>
          </w:p>
        </w:tc>
      </w:tr>
      <w:tr>
        <w:tc>
          <w:tcPr>
            <w:tcW w:type="dxa" w:w="2160"/>
          </w:tcPr>
          <w:p>
            <w:r>
              <w:t>Joint Laboratories</w:t>
            </w:r>
          </w:p>
        </w:tc>
        <w:tc>
          <w:tcPr>
            <w:tcW w:type="dxa" w:w="2160"/>
          </w:tcPr>
          <w:p>
            <w:r>
              <w:t>Formal research partnerships</w:t>
            </w:r>
          </w:p>
        </w:tc>
        <w:tc>
          <w:tcPr>
            <w:tcW w:type="dxa" w:w="2160"/>
          </w:tcPr>
          <w:p>
            <w:r>
              <w:t>HIGH</w:t>
            </w:r>
          </w:p>
        </w:tc>
        <w:tc>
          <w:tcPr>
            <w:tcW w:type="dxa" w:w="2160"/>
          </w:tcPr>
          <w:p>
            <w:r>
              <w:t>CRITICAL</w:t>
            </w:r>
          </w:p>
        </w:tc>
      </w:tr>
      <w:tr>
        <w:tc>
          <w:tcPr>
            <w:tcW w:type="dxa" w:w="2160"/>
          </w:tcPr>
          <w:p>
            <w:r>
              <w:t>Talent Exchange</w:t>
            </w:r>
          </w:p>
        </w:tc>
        <w:tc>
          <w:tcPr>
            <w:tcW w:type="dxa" w:w="2160"/>
          </w:tcPr>
          <w:p>
            <w:r>
              <w:t>Visiting scholars, PhD programs</w:t>
            </w:r>
          </w:p>
        </w:tc>
        <w:tc>
          <w:tcPr>
            <w:tcW w:type="dxa" w:w="2160"/>
          </w:tcPr>
          <w:p>
            <w:r>
              <w:t>MEDIUM</w:t>
            </w:r>
          </w:p>
        </w:tc>
        <w:tc>
          <w:tcPr>
            <w:tcW w:type="dxa" w:w="2160"/>
          </w:tcPr>
          <w:p>
            <w:r>
              <w:t>HIGH</w:t>
            </w:r>
          </w:p>
        </w:tc>
      </w:tr>
      <w:tr>
        <w:tc>
          <w:tcPr>
            <w:tcW w:type="dxa" w:w="2160"/>
          </w:tcPr>
          <w:p>
            <w:r>
              <w:t>Spin-off Acquisition</w:t>
            </w:r>
          </w:p>
        </w:tc>
        <w:tc>
          <w:tcPr>
            <w:tcW w:type="dxa" w:w="2160"/>
          </w:tcPr>
          <w:p>
            <w:r>
              <w:t>Venture capital infiltration</w:t>
            </w:r>
          </w:p>
        </w:tc>
        <w:tc>
          <w:tcPr>
            <w:tcW w:type="dxa" w:w="2160"/>
          </w:tcPr>
          <w:p>
            <w:r>
              <w:t>HIGH</w:t>
            </w:r>
          </w:p>
        </w:tc>
        <w:tc>
          <w:tcPr>
            <w:tcW w:type="dxa" w:w="2160"/>
          </w:tcPr>
          <w:p>
            <w:r>
              <w:t>MEDIUM-HIGH</w:t>
            </w:r>
          </w:p>
        </w:tc>
      </w:tr>
    </w:tbl>
    <w:p>
      <w:pPr>
        <w:pStyle w:val="Heading1"/>
      </w:pPr>
      <w:r>
        <w:t>Risk Mitigation Assessment</w:t>
      </w:r>
    </w:p>
    <w:p>
      <w:pPr>
        <w:pStyle w:val="Heading2"/>
      </w:pPr>
      <w:r>
        <w:t>Current Weaknesses</w:t>
      </w:r>
    </w:p>
    <w:p>
      <w:r>
        <w:t xml:space="preserve">1. </w:t>
      </w:r>
      <w:r>
        <w:rPr>
          <w:b/>
        </w:rPr>
        <w:t>Fragmented Oversight:</w:t>
      </w:r>
      <w:r>
        <w:t xml:space="preserve"> No single agency responsible for institutional security</w:t>
      </w:r>
    </w:p>
    <w:p>
      <w:r>
        <w:t xml:space="preserve">2. </w:t>
      </w:r>
      <w:r>
        <w:rPr>
          <w:b/>
        </w:rPr>
        <w:t>Limited Awareness:</w:t>
      </w:r>
      <w:r>
        <w:t xml:space="preserve"> Many researchers unaware of dual-use implications</w:t>
      </w:r>
    </w:p>
    <w:p>
      <w:r>
        <w:t xml:space="preserve">3. </w:t>
      </w:r>
      <w:r>
        <w:rPr>
          <w:b/>
        </w:rPr>
        <w:t>Administrative Gaps:</w:t>
      </w:r>
      <w:r>
        <w:t xml:space="preserve"> University international offices lack security expertise</w:t>
      </w:r>
    </w:p>
    <w:p>
      <w:r>
        <w:t xml:space="preserve">4. </w:t>
      </w:r>
      <w:r>
        <w:rPr>
          <w:b/>
        </w:rPr>
        <w:t>Commercial Naivety:</w:t>
      </w:r>
      <w:r>
        <w:t xml:space="preserve"> Spin-offs pursue funding without security screening</w:t>
      </w:r>
    </w:p>
    <w:p>
      <w:pPr>
        <w:pStyle w:val="Heading2"/>
      </w:pPr>
      <w:r>
        <w:t>Recommended Safeguards</w:t>
      </w:r>
    </w:p>
    <w:p>
      <w:r/>
      <w:r>
        <w:rPr>
          <w:b/>
        </w:rPr>
        <w:t>Immediate Actions (0-6 months):</w:t>
      </w:r>
      <w:r/>
    </w:p>
    <w:p>
      <w:r>
        <w:t xml:space="preserve">1. </w:t>
      </w:r>
      <w:r>
        <w:rPr>
          <w:b/>
        </w:rPr>
        <w:t>Central MoU Registry:</w:t>
      </w:r>
      <w:r>
        <w:t xml:space="preserve"> Mandate reporting of all international research agreements</w:t>
      </w:r>
    </w:p>
    <w:p>
      <w:r>
        <w:t xml:space="preserve">2. </w:t>
      </w:r>
      <w:r>
        <w:rPr>
          <w:b/>
        </w:rPr>
        <w:t>Visitor Database:</w:t>
      </w:r>
      <w:r>
        <w:t xml:space="preserve"> Centralized tracking of foreign researchers by institution</w:t>
      </w:r>
    </w:p>
    <w:p>
      <w:r>
        <w:t xml:space="preserve">3. </w:t>
      </w:r>
      <w:r>
        <w:rPr>
          <w:b/>
        </w:rPr>
        <w:t>Conference Guidelines:</w:t>
      </w:r>
      <w:r>
        <w:t xml:space="preserve"> Security briefings for researchers attending high-risk events</w:t>
      </w:r>
    </w:p>
    <w:p>
      <w:r>
        <w:t xml:space="preserve">4. </w:t>
      </w:r>
      <w:r>
        <w:rPr>
          <w:b/>
        </w:rPr>
        <w:t>Spin-off Screening:</w:t>
      </w:r>
      <w:r>
        <w:t xml:space="preserve"> Mandatory review of venture capital sources</w:t>
      </w:r>
    </w:p>
    <w:p>
      <w:r/>
      <w:r>
        <w:rPr>
          <w:b/>
        </w:rPr>
        <w:t>System Improvements (6-18 months):</w:t>
      </w:r>
      <w:r/>
    </w:p>
    <w:p>
      <w:r>
        <w:t xml:space="preserve">1. </w:t>
      </w:r>
      <w:r>
        <w:rPr>
          <w:b/>
        </w:rPr>
        <w:t>Institutional Security Officers:</w:t>
      </w:r>
      <w:r>
        <w:t xml:space="preserve"> Dedicated personnel at major universities/institutes</w:t>
      </w:r>
    </w:p>
    <w:p>
      <w:r>
        <w:t xml:space="preserve">2. </w:t>
      </w:r>
      <w:r>
        <w:rPr>
          <w:b/>
        </w:rPr>
        <w:t>Research Compartmentalization:</w:t>
      </w:r>
      <w:r>
        <w:t xml:space="preserve"> Separate sensitive from open research domains</w:t>
      </w:r>
    </w:p>
    <w:p>
      <w:r>
        <w:t xml:space="preserve">3. </w:t>
      </w:r>
      <w:r>
        <w:rPr>
          <w:b/>
        </w:rPr>
        <w:t>Partner Vetting System:</w:t>
      </w:r>
      <w:r>
        <w:t xml:space="preserve"> Standardized process for evaluating international collaborators</w:t>
      </w:r>
    </w:p>
    <w:p>
      <w:r>
        <w:t xml:space="preserve">4. </w:t>
      </w:r>
      <w:r>
        <w:rPr>
          <w:b/>
        </w:rPr>
        <w:t>Technology Transfer Controls:</w:t>
      </w:r>
      <w:r>
        <w:t xml:space="preserve"> Enhanced oversight of IP sharing agreements</w:t>
      </w:r>
    </w:p>
    <w:p>
      <w:pPr>
        <w:pStyle w:val="Heading1"/>
      </w:pPr>
      <w:r>
        <w:t>Recommendations</w:t>
      </w:r>
    </w:p>
    <w:p>
      <w:pPr>
        <w:pStyle w:val="Heading2"/>
      </w:pPr>
      <w:r>
        <w:t>Policy Framework Development</w:t>
      </w:r>
    </w:p>
    <w:p>
      <w:r>
        <w:t xml:space="preserve">1. </w:t>
      </w:r>
      <w:r>
        <w:rPr>
          <w:b/>
        </w:rPr>
        <w:t>National Security Research Strategy:</w:t>
      </w:r>
      <w:r>
        <w:t xml:space="preserve"> Integrate security considerations into research policy</w:t>
      </w:r>
    </w:p>
    <w:p>
      <w:r>
        <w:t xml:space="preserve">2. </w:t>
      </w:r>
      <w:r>
        <w:rPr>
          <w:b/>
        </w:rPr>
        <w:t>Institutional Responsibility Matrix:</w:t>
      </w:r>
      <w:r>
        <w:t xml:space="preserve"> Clear assignment of oversight roles</w:t>
      </w:r>
    </w:p>
    <w:p>
      <w:r>
        <w:t xml:space="preserve">3. </w:t>
      </w:r>
      <w:r>
        <w:rPr>
          <w:b/>
        </w:rPr>
        <w:t>International Collaboration Guidelines:</w:t>
      </w:r>
      <w:r>
        <w:t xml:space="preserve"> Standards for evaluating foreign partnerships</w:t>
      </w:r>
    </w:p>
    <w:p>
      <w:r>
        <w:t xml:space="preserve">4. </w:t>
      </w:r>
      <w:r>
        <w:rPr>
          <w:b/>
        </w:rPr>
        <w:t>Technology Transfer Regulations:</w:t>
      </w:r>
      <w:r>
        <w:t xml:space="preserve"> Strengthen controls on dual-use research sharing</w:t>
      </w:r>
    </w:p>
    <w:p>
      <w:pPr>
        <w:pStyle w:val="Heading2"/>
      </w:pPr>
      <w:r>
        <w:t>Operational Enhancements</w:t>
      </w:r>
    </w:p>
    <w:p>
      <w:r>
        <w:t xml:space="preserve">1. </w:t>
      </w:r>
      <w:r>
        <w:rPr>
          <w:b/>
        </w:rPr>
        <w:t>Real-time Monitoring:</w:t>
      </w:r>
      <w:r>
        <w:t xml:space="preserve"> Deploy systems to track international research activities</w:t>
      </w:r>
    </w:p>
    <w:p>
      <w:r>
        <w:t xml:space="preserve">2. </w:t>
      </w:r>
      <w:r>
        <w:rPr>
          <w:b/>
        </w:rPr>
        <w:t>Risk Assessment Tools:</w:t>
      </w:r>
      <w:r>
        <w:t xml:space="preserve"> Standardized evaluation of collaboration proposals</w:t>
      </w:r>
    </w:p>
    <w:p>
      <w:r>
        <w:t xml:space="preserve">3. </w:t>
      </w:r>
      <w:r>
        <w:rPr>
          <w:b/>
        </w:rPr>
        <w:t>Incident Reporting:</w:t>
      </w:r>
      <w:r>
        <w:t xml:space="preserve"> Mechanisms for flagging suspicious activities</w:t>
      </w:r>
    </w:p>
    <w:p>
      <w:r>
        <w:t xml:space="preserve">4. </w:t>
      </w:r>
      <w:r>
        <w:rPr>
          <w:b/>
        </w:rPr>
        <w:t>Regular Audits:</w:t>
      </w:r>
      <w:r>
        <w:t xml:space="preserve"> Periodic review of institutional security practices</w:t>
      </w:r>
    </w:p>
    <w:p>
      <w:pPr>
        <w:pStyle w:val="Heading2"/>
      </w:pPr>
      <w:r>
        <w:t>Strategic Initiatives</w:t>
      </w:r>
    </w:p>
    <w:p>
      <w:r>
        <w:t xml:space="preserve">1. </w:t>
      </w:r>
      <w:r>
        <w:rPr>
          <w:b/>
        </w:rPr>
        <w:t>EU Coordination:</w:t>
      </w:r>
      <w:r>
        <w:t xml:space="preserve"> Align Italian policies with broader European research security</w:t>
      </w:r>
    </w:p>
    <w:p>
      <w:r>
        <w:t xml:space="preserve">2. </w:t>
      </w:r>
      <w:r>
        <w:rPr>
          <w:b/>
        </w:rPr>
        <w:t>Allied Information Sharing:</w:t>
      </w:r>
      <w:r>
        <w:t xml:space="preserve"> Coordinate with NATO partners on researcher vetting</w:t>
      </w:r>
    </w:p>
    <w:p>
      <w:r>
        <w:t xml:space="preserve">3. </w:t>
      </w:r>
      <w:r>
        <w:rPr>
          <w:b/>
        </w:rPr>
        <w:t>Industry Integration:</w:t>
      </w:r>
      <w:r>
        <w:t xml:space="preserve"> Include private sector in institutional security frameworks</w:t>
      </w:r>
    </w:p>
    <w:p>
      <w:r>
        <w:t xml:space="preserve">4. </w:t>
      </w:r>
      <w:r>
        <w:rPr>
          <w:b/>
        </w:rPr>
        <w:t>Academic Engagement:</w:t>
      </w:r>
      <w:r>
        <w:t xml:space="preserve"> Build security awareness in research communities</w:t>
      </w:r>
    </w:p>
    <w:p>
      <w:pPr>
        <w:pStyle w:val="Heading1"/>
      </w:pPr>
      <w:r>
        <w:t>Quality Assessment</w:t>
      </w:r>
    </w:p>
    <w:p>
      <w:pPr>
        <w:pStyle w:val="Heading2"/>
      </w:pPr>
      <w:r>
        <w:t>Strengths</w:t>
      </w:r>
    </w:p>
    <w:p>
      <w:pPr>
        <w:pStyle w:val="ListBullet"/>
      </w:pPr>
      <w:r>
        <w:t>Comprehensive mapping of institutional landscape</w:t>
      </w:r>
    </w:p>
    <w:p>
      <w:pPr>
        <w:pStyle w:val="ListBullet"/>
      </w:pPr>
      <w:r>
        <w:t>Clear identification of conference-based risks</w:t>
      </w:r>
    </w:p>
    <w:p>
      <w:pPr>
        <w:pStyle w:val="ListBullet"/>
      </w:pPr>
      <w:r>
        <w:t>Quantified collaboration patterns</w:t>
      </w:r>
    </w:p>
    <w:p>
      <w:pPr>
        <w:pStyle w:val="ListBullet"/>
      </w:pPr>
      <w:r>
        <w:t>Strategic value assessment framework</w:t>
      </w:r>
    </w:p>
    <w:p>
      <w:pPr>
        <w:pStyle w:val="Heading2"/>
      </w:pPr>
      <w:r>
        <w:t>Weaknesses</w:t>
      </w:r>
    </w:p>
    <w:p>
      <w:pPr>
        <w:pStyle w:val="ListBullet"/>
      </w:pPr>
      <w:r>
        <w:t>Incomplete MoU documentation</w:t>
      </w:r>
    </w:p>
    <w:p>
      <w:pPr>
        <w:pStyle w:val="ListBullet"/>
      </w:pPr>
      <w:r>
        <w:t>Limited talent flow tracking</w:t>
      </w:r>
    </w:p>
    <w:p>
      <w:pPr>
        <w:pStyle w:val="ListBullet"/>
      </w:pPr>
      <w:r>
        <w:t>Uncertain venture capital screening</w:t>
      </w:r>
    </w:p>
    <w:p>
      <w:pPr>
        <w:pStyle w:val="ListBullet"/>
      </w:pPr>
      <w:r>
        <w:t>Gaps in negative evidence collection</w:t>
      </w:r>
    </w:p>
    <w:p>
      <w:pPr>
        <w:pStyle w:val="Heading2"/>
      </w:pPr>
      <w:r>
        <w:t>Confidence Levels</w:t>
      </w:r>
    </w:p>
    <w:p>
      <w:r>
        <w:t xml:space="preserve">- </w:t>
      </w:r>
      <w:r>
        <w:rPr>
          <w:b/>
        </w:rPr>
        <w:t>Institutional Mapping:</w:t>
      </w:r>
      <w:r>
        <w:t xml:space="preserve"> HIGH (verified public sources)</w:t>
      </w:r>
    </w:p>
    <w:p>
      <w:r>
        <w:t xml:space="preserve">- </w:t>
      </w:r>
      <w:r>
        <w:rPr>
          <w:b/>
        </w:rPr>
        <w:t>Collaboration Patterns:</w:t>
      </w:r>
      <w:r>
        <w:t xml:space="preserve"> MEDIUM-HIGH (publication data)</w:t>
      </w:r>
    </w:p>
    <w:p>
      <w:r>
        <w:t xml:space="preserve">- </w:t>
      </w:r>
      <w:r>
        <w:rPr>
          <w:b/>
        </w:rPr>
        <w:t>China Partnership Assessment:</w:t>
      </w:r>
      <w:r>
        <w:t xml:space="preserve"> MEDIUM (incomplete documentation)</w:t>
      </w:r>
    </w:p>
    <w:p>
      <w:r>
        <w:t xml:space="preserve">- </w:t>
      </w:r>
      <w:r>
        <w:rPr>
          <w:b/>
        </w:rPr>
        <w:t>Strategic Value Analysis:</w:t>
      </w:r>
      <w:r>
        <w:t xml:space="preserve"> MEDIUM (analytical framework)</w:t>
      </w:r>
    </w:p>
    <w:p>
      <w:pPr>
        <w:pStyle w:val="Heading1"/>
      </w:pPr>
      <w:r>
        <w:t>Framework Compliance</w:t>
      </w:r>
    </w:p>
    <w:p>
      <w:pPr>
        <w:pStyle w:val="Heading2"/>
      </w:pPr>
      <w:r>
        <w:t>ChatGPT v6 Requirements</w:t>
      </w:r>
    </w:p>
    <w:p>
      <w:r>
        <w:t>✓ Comprehensive institutional mapping</w:t>
      </w:r>
    </w:p>
    <w:p>
      <w:r>
        <w:t>✓ International collaboration analysis</w:t>
      </w:r>
    </w:p>
    <w:p>
      <w:r>
        <w:t>✓ Conference-based partnership tracking</w:t>
      </w:r>
    </w:p>
    <w:p>
      <w:r>
        <w:t>✓ Strategic value assessment</w:t>
      </w:r>
    </w:p>
    <w:p>
      <w:r>
        <w:t>✓ Talent flow evaluation</w:t>
      </w:r>
    </w:p>
    <w:p>
      <w:pPr>
        <w:pStyle w:val="Heading2"/>
      </w:pPr>
      <w:r>
        <w:t>Claude Enhancements</w:t>
      </w:r>
    </w:p>
    <w:p>
      <w:r>
        <w:t>✓ Triangle risk analysis integration</w:t>
      </w:r>
    </w:p>
    <w:p>
      <w:r>
        <w:t>✓ Quantitative collaboration metrics</w:t>
      </w:r>
    </w:p>
    <w:p>
      <w:r>
        <w:t>✓ Conference intelligence correlation</w:t>
      </w:r>
    </w:p>
    <w:p>
      <w:r>
        <w:t>✓ Spin-off acquisition vulnerabilities</w:t>
      </w:r>
    </w:p>
    <w:p>
      <w:r>
        <w:t>✓ Systematic oversight gap identification</w:t>
      </w:r>
    </w:p>
    <w:p>
      <w:pPr>
        <w:pStyle w:val="Heading1"/>
      </w:pPr>
      <w:r>
        <w:t>Conclusion</w:t>
      </w:r>
    </w:p>
    <w:p>
      <w:r>
        <w:t>Italy's institutional landscape presents a complex security challenge where world-class research capabilities intersect with inadequate oversight of international collaborations. The 287 mapped entities operate in a largely unmonitored environment where Chinese access to sensitive technologies occurs through multiple vectors: conference networking, MoU agreements, talent exchanges, and spin-off acquisitions.</w:t>
      </w:r>
    </w:p>
    <w:p>
      <w:r/>
      <w:r>
        <w:rPr>
          <w:b/>
        </w:rPr>
        <w:t>Critical Findings:</w:t>
      </w:r>
      <w:r/>
    </w:p>
    <w:p>
      <w:r>
        <w:t xml:space="preserve">1. </w:t>
      </w:r>
      <w:r>
        <w:rPr>
          <w:b/>
        </w:rPr>
        <w:t>No Central Registry:</w:t>
      </w:r>
      <w:r>
        <w:t xml:space="preserve"> Italy lacks systematic tracking of international research agreements</w:t>
      </w:r>
    </w:p>
    <w:p>
      <w:r>
        <w:t xml:space="preserve">2. </w:t>
      </w:r>
      <w:r>
        <w:rPr>
          <w:b/>
        </w:rPr>
        <w:t>Conference Vulnerability:</w:t>
      </w:r>
      <w:r>
        <w:t xml:space="preserve"> High-risk technology exposure at academic/industry events</w:t>
      </w:r>
    </w:p>
    <w:p>
      <w:r>
        <w:t xml:space="preserve">3. </w:t>
      </w:r>
      <w:r>
        <w:rPr>
          <w:b/>
        </w:rPr>
        <w:t>Talent Flow Gaps:</w:t>
      </w:r>
      <w:r>
        <w:t xml:space="preserve"> Inconsistent vetting of Chinese researchers and students</w:t>
      </w:r>
    </w:p>
    <w:p>
      <w:r>
        <w:t xml:space="preserve">4. </w:t>
      </w:r>
      <w:r>
        <w:rPr>
          <w:b/>
        </w:rPr>
        <w:t>Spin-off Blindness:</w:t>
      </w:r>
      <w:r>
        <w:t xml:space="preserve"> Venture capital screening inadequate for detecting Chinese involvement</w:t>
      </w:r>
    </w:p>
    <w:p>
      <w:r/>
      <w:r>
        <w:rPr>
          <w:b/>
        </w:rPr>
        <w:t>Priority Actions:</w:t>
      </w:r>
      <w:r/>
    </w:p>
    <w:p>
      <w:r>
        <w:t xml:space="preserve">1. </w:t>
      </w:r>
      <w:r>
        <w:rPr>
          <w:b/>
        </w:rPr>
        <w:t>Immediate MoU Registry:</w:t>
      </w:r>
      <w:r>
        <w:t xml:space="preserve"> Establish central database within 90 days</w:t>
      </w:r>
    </w:p>
    <w:p>
      <w:r>
        <w:t xml:space="preserve">2. </w:t>
      </w:r>
      <w:r>
        <w:rPr>
          <w:b/>
        </w:rPr>
        <w:t>Conference Security Protocol:</w:t>
      </w:r>
      <w:r>
        <w:t xml:space="preserve"> Deploy monitoring at high-risk events by Q2 2025</w:t>
      </w:r>
    </w:p>
    <w:p>
      <w:r>
        <w:t xml:space="preserve">3. </w:t>
      </w:r>
      <w:r>
        <w:rPr>
          <w:b/>
        </w:rPr>
        <w:t>Visitor Screening Enhancement:</w:t>
      </w:r>
      <w:r>
        <w:t xml:space="preserve"> Implement standardized vetting procedures within 6 months</w:t>
      </w:r>
    </w:p>
    <w:p>
      <w:r>
        <w:t xml:space="preserve">4. </w:t>
      </w:r>
      <w:r>
        <w:rPr>
          <w:b/>
        </w:rPr>
        <w:t>Spin-off Review Process:</w:t>
      </w:r>
      <w:r>
        <w:t xml:space="preserve"> Mandatory security screening for all technology transfers</w:t>
      </w:r>
    </w:p>
    <w:p>
      <w:r>
        <w:t>The current trajectory risks transforming Italy's research excellence into a systematic advantage for Chinese military-civil fusion efforts. Intervention is urgently needed to preserve Italy's technological sovereignty while maintaining beneficial international collaborations.</w:t>
      </w:r>
    </w:p>
    <w:p>
      <w:pPr>
        <w:pStyle w:val="ListBullet"/>
      </w:pPr>
    </w:p>
    <w:p>
      <w:pPr>
        <w:pStyle w:val="ListBullet"/>
      </w:pPr>
      <w:r>
        <w:t>Next Phase: Funding Analysis (Phase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