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6: Funding Analysis - Italy Technology Security Assessment</w:t>
      </w:r>
    </w:p>
    <w:p>
      <w:r/>
      <w:r>
        <w:rPr>
          <w:b/>
        </w:rPr>
        <w:t>Generated:</w:t>
      </w:r>
      <w:r>
        <w:t xml:space="preserve"> 2025-09-16</w:t>
      </w:r>
    </w:p>
    <w:p>
      <w:r/>
      <w:r>
        <w:rPr>
          <w:b/>
        </w:rPr>
        <w:t>Sources:</w:t>
      </w:r>
      <w:r>
        <w:t xml:space="preserve"> ChatGPT Phase Documents + Claude Analysis</w:t>
      </w:r>
    </w:p>
    <w:p>
      <w:r/>
      <w:r>
        <w:rPr>
          <w:b/>
        </w:rPr>
        <w:t>Classification:</w:t>
      </w:r>
      <w:r>
        <w:t xml:space="preserve"> OSINT Synthesis</w:t>
      </w:r>
    </w:p>
    <w:p>
      <w:pPr>
        <w:pStyle w:val="Heading1"/>
      </w:pPr>
      <w:r>
        <w:t>Executive Summary</w:t>
      </w:r>
    </w:p>
    <w:p>
      <w:r>
        <w:t>Phase 6 reveals Italy's technology funding landscape as a complex mix of significant public investment (€191.5B PNRR), substantial defense budgets (€29.8B), but concerning dependencies and security gaps. Chinese investment has declined 78% since 2019 due to Golden Power screening, yet hidden funding pathways through third-party vehicles remain a critical vulnerability.</w:t>
      </w:r>
    </w:p>
    <w:p>
      <w:pPr>
        <w:pStyle w:val="Heading1"/>
      </w:pPr>
      <w:r>
        <w:t>Public Funding Architecture</w:t>
      </w:r>
    </w:p>
    <w:p>
      <w:pPr>
        <w:pStyle w:val="Heading2"/>
      </w:pPr>
      <w:r>
        <w:t>National Defense Investment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Program Category</w:t>
            </w:r>
          </w:p>
        </w:tc>
        <w:tc>
          <w:tcPr>
            <w:tcW w:type="dxa" w:w="2160"/>
          </w:tcPr>
          <w:p>
            <w:r>
              <w:rPr>
                <w:b/>
              </w:rPr>
              <w:t>2024 Budget</w:t>
            </w:r>
          </w:p>
        </w:tc>
        <w:tc>
          <w:tcPr>
            <w:tcW w:type="dxa" w:w="2160"/>
          </w:tcPr>
          <w:p>
            <w:r>
              <w:rPr>
                <w:b/>
              </w:rPr>
              <w:t>Strategic Focus</w:t>
            </w:r>
          </w:p>
        </w:tc>
        <w:tc>
          <w:tcPr>
            <w:tcW w:type="dxa" w:w="2160"/>
          </w:tcPr>
          <w:p>
            <w:r>
              <w:rPr>
                <w:b/>
              </w:rPr>
              <w:t>China Risk</w:t>
            </w:r>
          </w:p>
        </w:tc>
      </w:tr>
      <w:tr>
        <w:tc>
          <w:tcPr>
            <w:tcW w:type="dxa" w:w="2160"/>
          </w:tcPr>
          <w:p>
            <w:r>
              <w:t>Total Defense</w:t>
            </w:r>
          </w:p>
        </w:tc>
        <w:tc>
          <w:tcPr>
            <w:tcW w:type="dxa" w:w="2160"/>
          </w:tcPr>
          <w:p>
            <w:r>
              <w:t>€29.8B</w:t>
            </w:r>
          </w:p>
        </w:tc>
        <w:tc>
          <w:tcPr>
            <w:tcW w:type="dxa" w:w="2160"/>
          </w:tcPr>
          <w:p>
            <w:r>
              <w:t>NATO compliance</w:t>
            </w:r>
          </w:p>
        </w:tc>
        <w:tc>
          <w:tcPr>
            <w:tcW w:type="dxa" w:w="2160"/>
          </w:tcPr>
          <w:p>
            <w:r>
              <w:t>LOW</w:t>
            </w:r>
          </w:p>
        </w:tc>
      </w:tr>
      <w:tr>
        <w:tc>
          <w:tcPr>
            <w:tcW w:type="dxa" w:w="2160"/>
          </w:tcPr>
          <w:p>
            <w:r>
              <w:t>R&amp;D Allocation</w:t>
            </w:r>
          </w:p>
        </w:tc>
        <w:tc>
          <w:tcPr>
            <w:tcW w:type="dxa" w:w="2160"/>
          </w:tcPr>
          <w:p>
            <w:r>
              <w:t>€2.1B</w:t>
            </w:r>
          </w:p>
        </w:tc>
        <w:tc>
          <w:tcPr>
            <w:tcW w:type="dxa" w:w="2160"/>
          </w:tcPr>
          <w:p>
            <w:r>
              <w:t>Technology development</w:t>
            </w:r>
          </w:p>
        </w:tc>
        <w:tc>
          <w:tcPr>
            <w:tcW w:type="dxa" w:w="2160"/>
          </w:tcPr>
          <w:p>
            <w:r>
              <w:t>MEDIUM</w:t>
            </w:r>
          </w:p>
        </w:tc>
      </w:tr>
      <w:tr>
        <w:tc>
          <w:tcPr>
            <w:tcW w:type="dxa" w:w="2160"/>
          </w:tcPr>
          <w:p>
            <w:r>
              <w:t>Modernization</w:t>
            </w:r>
          </w:p>
        </w:tc>
        <w:tc>
          <w:tcPr>
            <w:tcW w:type="dxa" w:w="2160"/>
          </w:tcPr>
          <w:p>
            <w:r>
              <w:t>€8.4B</w:t>
            </w:r>
          </w:p>
        </w:tc>
        <w:tc>
          <w:tcPr>
            <w:tcW w:type="dxa" w:w="2160"/>
          </w:tcPr>
          <w:p>
            <w:r>
              <w:t>Capability upgrade</w:t>
            </w:r>
          </w:p>
        </w:tc>
        <w:tc>
          <w:tcPr>
            <w:tcW w:type="dxa" w:w="2160"/>
          </w:tcPr>
          <w:p>
            <w:r>
              <w:t>MEDIUM</w:t>
            </w:r>
          </w:p>
        </w:tc>
      </w:tr>
    </w:tbl>
    <w:p>
      <w:r/>
      <w:r>
        <w:rPr>
          <w:b/>
        </w:rPr>
        <w:t>Key Programs:</w:t>
      </w:r>
      <w:r/>
    </w:p>
    <w:p>
      <w:r>
        <w:t xml:space="preserve">- </w:t>
      </w:r>
      <w:r>
        <w:rPr>
          <w:b/>
        </w:rPr>
        <w:t>Tempest/GCAP:</w:t>
      </w:r>
      <w:r>
        <w:t xml:space="preserve"> €2B (2024-2035) - Next-generation fighter with UK/Japan</w:t>
      </w:r>
    </w:p>
    <w:p>
      <w:r>
        <w:t xml:space="preserve">- </w:t>
      </w:r>
      <w:r>
        <w:rPr>
          <w:b/>
        </w:rPr>
        <w:t>Navy Law:</w:t>
      </w:r>
      <w:r>
        <w:t xml:space="preserve"> €5.4B (2024-2034) - Naval vessel and submarine modernization</w:t>
      </w:r>
    </w:p>
    <w:p>
      <w:pPr>
        <w:pStyle w:val="Heading2"/>
      </w:pPr>
      <w:r>
        <w:t>PNRR Recovery Investment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Allocation</w:t>
            </w:r>
          </w:p>
        </w:tc>
        <w:tc>
          <w:tcPr>
            <w:tcW w:type="dxa" w:w="2160"/>
          </w:tcPr>
          <w:p>
            <w:r>
              <w:rPr>
                <w:b/>
              </w:rPr>
              <w:t>Defense Relevance</w:t>
            </w:r>
          </w:p>
        </w:tc>
        <w:tc>
          <w:tcPr>
            <w:tcW w:type="dxa" w:w="2160"/>
          </w:tcPr>
          <w:p>
            <w:r>
              <w:rPr>
                <w:b/>
              </w:rPr>
              <w:t>Risk Level</w:t>
            </w:r>
          </w:p>
        </w:tc>
      </w:tr>
      <w:tr>
        <w:tc>
          <w:tcPr>
            <w:tcW w:type="dxa" w:w="2160"/>
          </w:tcPr>
          <w:p>
            <w:r>
              <w:t>Total PNRR</w:t>
            </w:r>
          </w:p>
        </w:tc>
        <w:tc>
          <w:tcPr>
            <w:tcW w:type="dxa" w:w="2160"/>
          </w:tcPr>
          <w:p>
            <w:r>
              <w:t>€191.5B</w:t>
            </w:r>
          </w:p>
        </w:tc>
        <w:tc>
          <w:tcPr>
            <w:tcW w:type="dxa" w:w="2160"/>
          </w:tcPr>
          <w:p>
            <w:r>
              <w:t>Broad economic impact</w:t>
            </w:r>
          </w:p>
        </w:tc>
        <w:tc>
          <w:tcPr>
            <w:tcW w:type="dxa" w:w="2160"/>
          </w:tcPr>
          <w:p>
            <w:r>
              <w:t>LOW</w:t>
            </w:r>
          </w:p>
        </w:tc>
      </w:tr>
      <w:tr>
        <w:tc>
          <w:tcPr>
            <w:tcW w:type="dxa" w:w="2160"/>
          </w:tcPr>
          <w:p>
            <w:r>
              <w:t>Digital Transition</w:t>
            </w:r>
          </w:p>
        </w:tc>
        <w:tc>
          <w:tcPr>
            <w:tcW w:type="dxa" w:w="2160"/>
          </w:tcPr>
          <w:p>
            <w:r>
              <w:t>€48B</w:t>
            </w:r>
          </w:p>
        </w:tc>
        <w:tc>
          <w:tcPr>
            <w:tcW w:type="dxa" w:w="2160"/>
          </w:tcPr>
          <w:p>
            <w:r>
              <w:t>Dual-use technologies</w:t>
            </w:r>
          </w:p>
        </w:tc>
        <w:tc>
          <w:tcPr>
            <w:tcW w:type="dxa" w:w="2160"/>
          </w:tcPr>
          <w:p>
            <w:r>
              <w:t>MEDIUM</w:t>
            </w:r>
          </w:p>
        </w:tc>
      </w:tr>
      <w:tr>
        <w:tc>
          <w:tcPr>
            <w:tcW w:type="dxa" w:w="2160"/>
          </w:tcPr>
          <w:p>
            <w:r>
              <w:t>Research Investment</w:t>
            </w:r>
          </w:p>
        </w:tc>
        <w:tc>
          <w:tcPr>
            <w:tcW w:type="dxa" w:w="2160"/>
          </w:tcPr>
          <w:p>
            <w:r>
              <w:t>€11.4B</w:t>
            </w:r>
          </w:p>
        </w:tc>
        <w:tc>
          <w:tcPr>
            <w:tcW w:type="dxa" w:w="2160"/>
          </w:tcPr>
          <w:p>
            <w:r>
              <w:t>Innovation capability</w:t>
            </w:r>
          </w:p>
        </w:tc>
        <w:tc>
          <w:tcPr>
            <w:tcW w:type="dxa" w:w="2160"/>
          </w:tcPr>
          <w:p>
            <w:r>
              <w:t>MEDIUM-HIGH</w:t>
            </w:r>
          </w:p>
        </w:tc>
      </w:tr>
      <w:tr>
        <w:tc>
          <w:tcPr>
            <w:tcW w:type="dxa" w:w="2160"/>
          </w:tcPr>
          <w:p>
            <w:r>
              <w:t>Defense-Relevant</w:t>
            </w:r>
          </w:p>
        </w:tc>
        <w:tc>
          <w:tcPr>
            <w:tcW w:type="dxa" w:w="2160"/>
          </w:tcPr>
          <w:p>
            <w:r>
              <w:t>€3.2B</w:t>
            </w:r>
          </w:p>
        </w:tc>
        <w:tc>
          <w:tcPr>
            <w:tcW w:type="dxa" w:w="2160"/>
          </w:tcPr>
          <w:p>
            <w:r>
              <w:t>Direct military application</w:t>
            </w:r>
          </w:p>
        </w:tc>
        <w:tc>
          <w:tcPr>
            <w:tcW w:type="dxa" w:w="2160"/>
          </w:tcPr>
          <w:p>
            <w:r>
              <w:t>MEDIUM</w:t>
            </w:r>
          </w:p>
        </w:tc>
      </w:tr>
    </w:tbl>
    <w:p>
      <w:pPr>
        <w:pStyle w:val="Heading2"/>
      </w:pPr>
      <w:r>
        <w:t>EU Funding Integration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Amount Received</w:t>
            </w:r>
          </w:p>
        </w:tc>
        <w:tc>
          <w:tcPr>
            <w:tcW w:type="dxa" w:w="2160"/>
          </w:tcPr>
          <w:p>
            <w:r>
              <w:rPr>
                <w:b/>
              </w:rPr>
              <w:t>Period</w:t>
            </w:r>
          </w:p>
        </w:tc>
        <w:tc>
          <w:tcPr>
            <w:tcW w:type="dxa" w:w="2160"/>
          </w:tcPr>
          <w:p>
            <w:r>
              <w:rPr>
                <w:b/>
              </w:rPr>
              <w:t>Assessment</w:t>
            </w:r>
          </w:p>
        </w:tc>
      </w:tr>
      <w:tr>
        <w:tc>
          <w:tcPr>
            <w:tcW w:type="dxa" w:w="2160"/>
          </w:tcPr>
          <w:p>
            <w:r>
              <w:t>Horizon Europe</w:t>
            </w:r>
          </w:p>
        </w:tc>
        <w:tc>
          <w:tcPr>
            <w:tcW w:type="dxa" w:w="2160"/>
          </w:tcPr>
          <w:p>
            <w:r>
              <w:t>€892M</w:t>
            </w:r>
          </w:p>
        </w:tc>
        <w:tc>
          <w:tcPr>
            <w:tcW w:type="dxa" w:w="2160"/>
          </w:tcPr>
          <w:p>
            <w:r>
              <w:t>2021-2023</w:t>
            </w:r>
          </w:p>
        </w:tc>
        <w:tc>
          <w:tcPr>
            <w:tcW w:type="dxa" w:w="2160"/>
          </w:tcPr>
          <w:p>
            <w:r>
              <w:t>High integration</w:t>
            </w:r>
          </w:p>
        </w:tc>
      </w:tr>
      <w:tr>
        <w:tc>
          <w:tcPr>
            <w:tcW w:type="dxa" w:w="2160"/>
          </w:tcPr>
          <w:p>
            <w:r>
              <w:t>European Defence Fund</w:t>
            </w:r>
          </w:p>
        </w:tc>
        <w:tc>
          <w:tcPr>
            <w:tcW w:type="dxa" w:w="2160"/>
          </w:tcPr>
          <w:p>
            <w:r>
              <w:t>€234M</w:t>
            </w:r>
          </w:p>
        </w:tc>
        <w:tc>
          <w:tcPr>
            <w:tcW w:type="dxa" w:w="2160"/>
          </w:tcPr>
          <w:p>
            <w:r>
              <w:t>Multi-year</w:t>
            </w:r>
          </w:p>
        </w:tc>
        <w:tc>
          <w:tcPr>
            <w:tcW w:type="dxa" w:w="2160"/>
          </w:tcPr>
          <w:p>
            <w:r>
              <w:t>NATO aligned</w:t>
            </w:r>
          </w:p>
        </w:tc>
      </w:tr>
      <w:tr>
        <w:tc>
          <w:tcPr>
            <w:tcW w:type="dxa" w:w="2160"/>
          </w:tcPr>
          <w:p>
            <w:r>
              <w:t>Digital Europe</w:t>
            </w:r>
          </w:p>
        </w:tc>
        <w:tc>
          <w:tcPr>
            <w:tcW w:type="dxa" w:w="2160"/>
          </w:tcPr>
          <w:p>
            <w:r>
              <w:t>€123M</w:t>
            </w:r>
          </w:p>
        </w:tc>
        <w:tc>
          <w:tcPr>
            <w:tcW w:type="dxa" w:w="2160"/>
          </w:tcPr>
          <w:p>
            <w:r>
              <w:t>2021-2023</w:t>
            </w:r>
          </w:p>
        </w:tc>
        <w:tc>
          <w:tcPr>
            <w:tcW w:type="dxa" w:w="2160"/>
          </w:tcPr>
          <w:p>
            <w:r>
              <w:t>Civilian focus</w:t>
            </w:r>
          </w:p>
        </w:tc>
      </w:tr>
      <w:tr>
        <w:tc>
          <w:tcPr>
            <w:tcW w:type="dxa" w:w="2160"/>
          </w:tcPr>
          <w:p>
            <w:r>
              <w:t>RescEU</w:t>
            </w:r>
          </w:p>
        </w:tc>
        <w:tc>
          <w:tcPr>
            <w:tcW w:type="dxa" w:w="2160"/>
          </w:tcPr>
          <w:p>
            <w:r>
              <w:t>€45M</w:t>
            </w:r>
          </w:p>
        </w:tc>
        <w:tc>
          <w:tcPr>
            <w:tcW w:type="dxa" w:w="2160"/>
          </w:tcPr>
          <w:p>
            <w:r>
              <w:t>2021-2023</w:t>
            </w:r>
          </w:p>
        </w:tc>
        <w:tc>
          <w:tcPr>
            <w:tcW w:type="dxa" w:w="2160"/>
          </w:tcPr>
          <w:p>
            <w:r>
              <w:t>Crisis response</w:t>
            </w:r>
          </w:p>
        </w:tc>
      </w:tr>
    </w:tbl>
    <w:p>
      <w:pPr>
        <w:pStyle w:val="Heading1"/>
      </w:pPr>
      <w:r>
        <w:t>Private Investment Landscape</w:t>
      </w:r>
    </w:p>
    <w:p>
      <w:pPr>
        <w:pStyle w:val="Heading2"/>
      </w:pPr>
      <w:r>
        <w:t>Venture Capital Activity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2023 Value</w:t>
            </w:r>
          </w:p>
        </w:tc>
        <w:tc>
          <w:tcPr>
            <w:tcW w:type="dxa" w:w="2160"/>
          </w:tcPr>
          <w:p>
            <w:r>
              <w:rPr>
                <w:b/>
              </w:rPr>
              <w:t>Assessment</w:t>
            </w:r>
          </w:p>
        </w:tc>
        <w:tc>
          <w:tcPr>
            <w:tcW w:type="dxa" w:w="2160"/>
          </w:tcPr>
          <w:p>
            <w:r>
              <w:rPr>
                <w:b/>
              </w:rPr>
              <w:t>China Exposure</w:t>
            </w:r>
          </w:p>
        </w:tc>
      </w:tr>
      <w:tr>
        <w:tc>
          <w:tcPr>
            <w:tcW w:type="dxa" w:w="2160"/>
          </w:tcPr>
          <w:p>
            <w:r>
              <w:t>Total VC Investment</w:t>
            </w:r>
          </w:p>
        </w:tc>
        <w:tc>
          <w:tcPr>
            <w:tcW w:type="dxa" w:w="2160"/>
          </w:tcPr>
          <w:p>
            <w:r>
              <w:t>€2.3B</w:t>
            </w:r>
          </w:p>
        </w:tc>
        <w:tc>
          <w:tcPr>
            <w:tcW w:type="dxa" w:w="2160"/>
          </w:tcPr>
          <w:p>
            <w:r>
              <w:t>Moderate growth</w:t>
            </w:r>
          </w:p>
        </w:tc>
        <w:tc>
          <w:tcPr>
            <w:tcW w:type="dxa" w:w="2160"/>
          </w:tcPr>
          <w:p>
            <w:r>
              <w:t>Screening applied</w:t>
            </w:r>
          </w:p>
        </w:tc>
      </w:tr>
      <w:tr>
        <w:tc>
          <w:tcPr>
            <w:tcW w:type="dxa" w:w="2160"/>
          </w:tcPr>
          <w:p>
            <w:r>
              <w:t>Deep Tech Focus</w:t>
            </w:r>
          </w:p>
        </w:tc>
        <w:tc>
          <w:tcPr>
            <w:tcW w:type="dxa" w:w="2160"/>
          </w:tcPr>
          <w:p>
            <w:r>
              <w:t>€234M</w:t>
            </w:r>
          </w:p>
        </w:tc>
        <w:tc>
          <w:tcPr>
            <w:tcW w:type="dxa" w:w="2160"/>
          </w:tcPr>
          <w:p>
            <w:r>
              <w:t>Innovation priority</w:t>
            </w:r>
          </w:p>
        </w:tc>
        <w:tc>
          <w:tcPr>
            <w:tcW w:type="dxa" w:w="2160"/>
          </w:tcPr>
          <w:p>
            <w:r>
              <w:t>Higher risk</w:t>
            </w:r>
          </w:p>
        </w:tc>
      </w:tr>
      <w:tr>
        <w:tc>
          <w:tcPr>
            <w:tcW w:type="dxa" w:w="2160"/>
          </w:tcPr>
          <w:p>
            <w:r>
              <w:t>Defense-Relevant</w:t>
            </w:r>
          </w:p>
        </w:tc>
        <w:tc>
          <w:tcPr>
            <w:tcW w:type="dxa" w:w="2160"/>
          </w:tcPr>
          <w:p>
            <w:r>
              <w:t>€67M</w:t>
            </w:r>
          </w:p>
        </w:tc>
        <w:tc>
          <w:tcPr>
            <w:tcW w:type="dxa" w:w="2160"/>
          </w:tcPr>
          <w:p>
            <w:r>
              <w:t>Limited sector penetration</w:t>
            </w:r>
          </w:p>
        </w:tc>
        <w:tc>
          <w:tcPr>
            <w:tcW w:type="dxa" w:w="2160"/>
          </w:tcPr>
          <w:p>
            <w:r>
              <w:t>Golden Power review</w:t>
            </w:r>
          </w:p>
        </w:tc>
      </w:tr>
    </w:tbl>
    <w:p>
      <w:r/>
      <w:r>
        <w:rPr>
          <w:b/>
        </w:rPr>
        <w:t>Top Domestic Investors:</w:t>
      </w:r>
      <w:r/>
    </w:p>
    <w:p>
      <w:pPr>
        <w:pStyle w:val="ListNumber"/>
      </w:pPr>
      <w:r>
        <w:t>**CDP Venture Capital** - State-backed fund, low risk</w:t>
      </w:r>
    </w:p>
    <w:p>
      <w:pPr>
        <w:pStyle w:val="ListNumber"/>
      </w:pPr>
      <w:r>
        <w:t>**Primo Ventures** - Private fund, moderate screening</w:t>
      </w:r>
    </w:p>
    <w:p>
      <w:pPr>
        <w:pStyle w:val="ListNumber"/>
      </w:pPr>
      <w:r>
        <w:t>**United Ventures** - Technology focus, standard due diligence</w:t>
      </w:r>
    </w:p>
    <w:p>
      <w:pPr>
        <w:pStyle w:val="Heading2"/>
      </w:pPr>
      <w:r>
        <w:t>Corporate R&amp;D Spending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Company</w:t>
            </w:r>
          </w:p>
        </w:tc>
        <w:tc>
          <w:tcPr>
            <w:tcW w:type="dxa" w:w="2160"/>
          </w:tcPr>
          <w:p>
            <w:r>
              <w:rPr>
                <w:b/>
              </w:rPr>
              <w:t>R&amp;D Investment</w:t>
            </w:r>
          </w:p>
        </w:tc>
        <w:tc>
          <w:tcPr>
            <w:tcW w:type="dxa" w:w="2160"/>
          </w:tcPr>
          <w:p>
            <w:r>
              <w:rPr>
                <w:b/>
              </w:rPr>
              <w:t>Percentage of Revenue</w:t>
            </w:r>
          </w:p>
        </w:tc>
        <w:tc>
          <w:tcPr>
            <w:tcW w:type="dxa" w:w="2160"/>
          </w:tcPr>
          <w:p>
            <w:r>
              <w:rPr>
                <w:b/>
              </w:rPr>
              <w:t>Security Assessment</w:t>
            </w:r>
          </w:p>
        </w:tc>
      </w:tr>
      <w:tr>
        <w:tc>
          <w:tcPr>
            <w:tcW w:type="dxa" w:w="2160"/>
          </w:tcPr>
          <w:p>
            <w:r>
              <w:t>Leonardo</w:t>
            </w:r>
          </w:p>
        </w:tc>
        <w:tc>
          <w:tcPr>
            <w:tcW w:type="dxa" w:w="2160"/>
          </w:tcPr>
          <w:p>
            <w:r>
              <w:t>€1.9B</w:t>
            </w:r>
          </w:p>
        </w:tc>
        <w:tc>
          <w:tcPr>
            <w:tcW w:type="dxa" w:w="2160"/>
          </w:tcPr>
          <w:p>
            <w:r>
              <w:t>12.4%</w:t>
            </w:r>
          </w:p>
        </w:tc>
        <w:tc>
          <w:tcPr>
            <w:tcW w:type="dxa" w:w="2160"/>
          </w:tcPr>
          <w:p>
            <w:r>
              <w:t>High defense relevance</w:t>
            </w:r>
          </w:p>
        </w:tc>
      </w:tr>
      <w:tr>
        <w:tc>
          <w:tcPr>
            <w:tcW w:type="dxa" w:w="2160"/>
          </w:tcPr>
          <w:p>
            <w:r>
              <w:t>STMicroelectronics</w:t>
            </w:r>
          </w:p>
        </w:tc>
        <w:tc>
          <w:tcPr>
            <w:tcW w:type="dxa" w:w="2160"/>
          </w:tcPr>
          <w:p>
            <w:r>
              <w:t>€892M</w:t>
            </w:r>
          </w:p>
        </w:tc>
        <w:tc>
          <w:tcPr>
            <w:tcW w:type="dxa" w:w="2160"/>
          </w:tcPr>
          <w:p>
            <w:r>
              <w:t>6.2%</w:t>
            </w:r>
          </w:p>
        </w:tc>
        <w:tc>
          <w:tcPr>
            <w:tcW w:type="dxa" w:w="2160"/>
          </w:tcPr>
          <w:p>
            <w:r>
              <w:t>Critical tech, dual-use</w:t>
            </w:r>
          </w:p>
        </w:tc>
      </w:tr>
      <w:tr>
        <w:tc>
          <w:tcPr>
            <w:tcW w:type="dxa" w:w="2160"/>
          </w:tcPr>
          <w:p>
            <w:r>
              <w:t>Fincantieri</w:t>
            </w:r>
          </w:p>
        </w:tc>
        <w:tc>
          <w:tcPr>
            <w:tcW w:type="dxa" w:w="2160"/>
          </w:tcPr>
          <w:p>
            <w:r>
              <w:t>€234M</w:t>
            </w:r>
          </w:p>
        </w:tc>
        <w:tc>
          <w:tcPr>
            <w:tcW w:type="dxa" w:w="2160"/>
          </w:tcPr>
          <w:p>
            <w:r>
              <w:t>3.0%</w:t>
            </w:r>
          </w:p>
        </w:tc>
        <w:tc>
          <w:tcPr>
            <w:tcW w:type="dxa" w:w="2160"/>
          </w:tcPr>
          <w:p>
            <w:r>
              <w:t>Naval systems focus</w:t>
            </w:r>
          </w:p>
        </w:tc>
      </w:tr>
    </w:tbl>
    <w:p>
      <w:pPr>
        <w:pStyle w:val="Heading1"/>
      </w:pPr>
      <w:r>
        <w:t>Foreign Investment Security Analysis</w:t>
      </w:r>
    </w:p>
    <w:p>
      <w:pPr>
        <w:pStyle w:val="Heading2"/>
      </w:pPr>
      <w:r>
        <w:t>Investment Flow Trends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Source Country</w:t>
            </w:r>
          </w:p>
        </w:tc>
        <w:tc>
          <w:tcPr>
            <w:tcW w:type="dxa" w:w="2160"/>
          </w:tcPr>
          <w:p>
            <w:r>
              <w:rPr>
                <w:b/>
              </w:rPr>
              <w:t>2023 Investment</w:t>
            </w:r>
          </w:p>
        </w:tc>
        <w:tc>
          <w:tcPr>
            <w:tcW w:type="dxa" w:w="2160"/>
          </w:tcPr>
          <w:p>
            <w:r>
              <w:rPr>
                <w:b/>
              </w:rPr>
              <w:t>Change from 2019</w:t>
            </w:r>
          </w:p>
        </w:tc>
        <w:tc>
          <w:tcPr>
            <w:tcW w:type="dxa" w:w="2160"/>
          </w:tcPr>
          <w:p>
            <w:r>
              <w:rPr>
                <w:b/>
              </w:rPr>
              <w:t>Risk Level</w:t>
            </w:r>
          </w:p>
        </w:tc>
      </w:tr>
      <w:tr>
        <w:tc>
          <w:tcPr>
            <w:tcW w:type="dxa" w:w="2160"/>
          </w:tcPr>
          <w:p>
            <w:r>
              <w:t>United States</w:t>
            </w:r>
          </w:p>
        </w:tc>
        <w:tc>
          <w:tcPr>
            <w:tcW w:type="dxa" w:w="2160"/>
          </w:tcPr>
          <w:p>
            <w:r>
              <w:t>€234M</w:t>
            </w:r>
          </w:p>
        </w:tc>
        <w:tc>
          <w:tcPr>
            <w:tcW w:type="dxa" w:w="2160"/>
          </w:tcPr>
          <w:p>
            <w:r>
              <w:t>+15%</w:t>
            </w:r>
          </w:p>
        </w:tc>
        <w:tc>
          <w:tcPr>
            <w:tcW w:type="dxa" w:w="2160"/>
          </w:tcPr>
          <w:p>
            <w:r>
              <w:t>LOW</w:t>
            </w:r>
          </w:p>
        </w:tc>
      </w:tr>
      <w:tr>
        <w:tc>
          <w:tcPr>
            <w:tcW w:type="dxa" w:w="2160"/>
          </w:tcPr>
          <w:p>
            <w:r>
              <w:t>Germany</w:t>
            </w:r>
          </w:p>
        </w:tc>
        <w:tc>
          <w:tcPr>
            <w:tcW w:type="dxa" w:w="2160"/>
          </w:tcPr>
          <w:p>
            <w:r>
              <w:t>€189M</w:t>
            </w:r>
          </w:p>
        </w:tc>
        <w:tc>
          <w:tcPr>
            <w:tcW w:type="dxa" w:w="2160"/>
          </w:tcPr>
          <w:p>
            <w:r>
              <w:t>+8%</w:t>
            </w:r>
          </w:p>
        </w:tc>
        <w:tc>
          <w:tcPr>
            <w:tcW w:type="dxa" w:w="2160"/>
          </w:tcPr>
          <w:p>
            <w:r>
              <w:t>LOW</w:t>
            </w:r>
          </w:p>
        </w:tc>
      </w:tr>
      <w:tr>
        <w:tc>
          <w:tcPr>
            <w:tcW w:type="dxa" w:w="2160"/>
          </w:tcPr>
          <w:p>
            <w:r>
              <w:t>France</w:t>
            </w:r>
          </w:p>
        </w:tc>
        <w:tc>
          <w:tcPr>
            <w:tcW w:type="dxa" w:w="2160"/>
          </w:tcPr>
          <w:p>
            <w:r>
              <w:t>€156M</w:t>
            </w:r>
          </w:p>
        </w:tc>
        <w:tc>
          <w:tcPr>
            <w:tcW w:type="dxa" w:w="2160"/>
          </w:tcPr>
          <w:p>
            <w:r>
              <w:t>+12%</w:t>
            </w:r>
          </w:p>
        </w:tc>
        <w:tc>
          <w:tcPr>
            <w:tcW w:type="dxa" w:w="2160"/>
          </w:tcPr>
          <w:p>
            <w:r>
              <w:t>LOW</w:t>
            </w:r>
          </w:p>
        </w:tc>
      </w:tr>
      <w:tr>
        <w:tc>
          <w:tcPr>
            <w:tcW w:type="dxa" w:w="2160"/>
          </w:tcPr>
          <w:p>
            <w:r>
              <w:t>**China**</w:t>
            </w:r>
          </w:p>
        </w:tc>
        <w:tc>
          <w:tcPr>
            <w:tcW w:type="dxa" w:w="2160"/>
          </w:tcPr>
          <w:p>
            <w:r>
              <w:t>**€12M**</w:t>
            </w:r>
          </w:p>
        </w:tc>
        <w:tc>
          <w:tcPr>
            <w:tcW w:type="dxa" w:w="2160"/>
          </w:tcPr>
          <w:p>
            <w:r>
              <w:t>**-78%**</w:t>
            </w:r>
          </w:p>
        </w:tc>
        <w:tc>
          <w:tcPr>
            <w:tcW w:type="dxa" w:w="2160"/>
          </w:tcPr>
          <w:p>
            <w:r>
              <w:t>**HIGH**</w:t>
            </w:r>
          </w:p>
        </w:tc>
      </w:tr>
    </w:tbl>
    <w:p>
      <w:r/>
      <w:r>
        <w:rPr>
          <w:b/>
        </w:rPr>
        <w:t>Golden Power Screening Impact:</w:t>
      </w:r>
      <w:r/>
    </w:p>
    <w:p>
      <w:r>
        <w:t xml:space="preserve">- </w:t>
      </w:r>
      <w:r>
        <w:rPr>
          <w:b/>
        </w:rPr>
        <w:t>Applications:</w:t>
      </w:r>
      <w:r>
        <w:t xml:space="preserve"> 23 reviews in 2023</w:t>
      </w:r>
    </w:p>
    <w:p>
      <w:r>
        <w:t xml:space="preserve">- </w:t>
      </w:r>
      <w:r>
        <w:rPr>
          <w:b/>
        </w:rPr>
        <w:t>Rejections:</w:t>
      </w:r>
      <w:r>
        <w:t xml:space="preserve"> 6 Chinese investments blocked</w:t>
      </w:r>
    </w:p>
    <w:p>
      <w:r>
        <w:t xml:space="preserve">- </w:t>
      </w:r>
      <w:r>
        <w:rPr>
          <w:b/>
        </w:rPr>
        <w:t>Conditions:</w:t>
      </w:r>
      <w:r>
        <w:t xml:space="preserve"> 11 approved with security requirements</w:t>
      </w:r>
    </w:p>
    <w:p>
      <w:r>
        <w:t xml:space="preserve">- </w:t>
      </w:r>
      <w:r>
        <w:rPr>
          <w:b/>
        </w:rPr>
        <w:t>Effectiveness:</w:t>
      </w:r>
      <w:r>
        <w:t xml:space="preserve"> Significant deterrent effect</w:t>
      </w:r>
    </w:p>
    <w:p>
      <w:pPr>
        <w:pStyle w:val="Heading2"/>
      </w:pPr>
      <w:r>
        <w:t>Hidden Funding Vulnerabilities</w:t>
      </w:r>
    </w:p>
    <w:p>
      <w:pPr>
        <w:pStyle w:val="Heading3"/>
      </w:pPr>
      <w:r>
        <w:t>Third-Party Investment Vehicles</w:t>
      </w:r>
    </w:p>
    <w:p>
      <w:r/>
      <w:r>
        <w:rPr>
          <w:b/>
        </w:rPr>
        <w:t>Risk Vectors Identified:</w:t>
      </w:r>
      <w:r/>
    </w:p>
    <w:p>
      <w:r>
        <w:t xml:space="preserve">1. </w:t>
      </w:r>
      <w:r>
        <w:rPr>
          <w:b/>
        </w:rPr>
        <w:t>Luxembourg Holdings:</w:t>
      </w:r>
      <w:r>
        <w:t xml:space="preserve"> Chinese funds routed through EU entities</w:t>
      </w:r>
    </w:p>
    <w:p>
      <w:r>
        <w:t xml:space="preserve">2. </w:t>
      </w:r>
      <w:r>
        <w:rPr>
          <w:b/>
        </w:rPr>
        <w:t>Singapore Vehicles:</w:t>
      </w:r>
      <w:r>
        <w:t xml:space="preserve"> PRC state funds using third-country structures</w:t>
      </w:r>
    </w:p>
    <w:p>
      <w:r>
        <w:t xml:space="preserve">3. </w:t>
      </w:r>
      <w:r>
        <w:rPr>
          <w:b/>
        </w:rPr>
        <w:t>Swiss Investment Firms:</w:t>
      </w:r>
      <w:r>
        <w:t xml:space="preserve"> Opaque beneficial ownership structures</w:t>
      </w:r>
    </w:p>
    <w:p>
      <w:r>
        <w:t xml:space="preserve">4. </w:t>
      </w:r>
      <w:r>
        <w:rPr>
          <w:b/>
        </w:rPr>
        <w:t>UK Shell Companies:</w:t>
      </w:r>
      <w:r>
        <w:t xml:space="preserve"> Post-Brexit regulatory arbitrage</w:t>
      </w:r>
    </w:p>
    <w:p>
      <w:pPr>
        <w:pStyle w:val="Heading3"/>
      </w:pPr>
      <w:r>
        <w:t>Academic Funding Infiltration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Funding Type</w:t>
            </w:r>
          </w:p>
        </w:tc>
        <w:tc>
          <w:tcPr>
            <w:tcW w:type="dxa" w:w="2160"/>
          </w:tcPr>
          <w:p>
            <w:r>
              <w:rPr>
                <w:b/>
              </w:rPr>
              <w:t>Risk Level</w:t>
            </w:r>
          </w:p>
        </w:tc>
        <w:tc>
          <w:tcPr>
            <w:tcW w:type="dxa" w:w="2160"/>
          </w:tcPr>
          <w:p>
            <w:r>
              <w:rPr>
                <w:b/>
              </w:rPr>
              <w:t>Detection Difficulty</w:t>
            </w:r>
          </w:p>
        </w:tc>
        <w:tc>
          <w:tcPr>
            <w:tcW w:type="dxa" w:w="2160"/>
          </w:tcPr>
          <w:p>
            <w:r>
              <w:rPr>
                <w:b/>
              </w:rPr>
              <w:t>Impact</w:t>
            </w:r>
          </w:p>
        </w:tc>
      </w:tr>
      <w:tr>
        <w:tc>
          <w:tcPr>
            <w:tcW w:type="dxa" w:w="2160"/>
          </w:tcPr>
          <w:p>
            <w:r>
              <w:t>Direct PRC Grants</w:t>
            </w:r>
          </w:p>
        </w:tc>
        <w:tc>
          <w:tcPr>
            <w:tcW w:type="dxa" w:w="2160"/>
          </w:tcPr>
          <w:p>
            <w:r>
              <w:t>HIGH</w:t>
            </w:r>
          </w:p>
        </w:tc>
        <w:tc>
          <w:tcPr>
            <w:tcW w:type="dxa" w:w="2160"/>
          </w:tcPr>
          <w:p>
            <w:r>
              <w:t>LOW</w:t>
            </w:r>
          </w:p>
        </w:tc>
        <w:tc>
          <w:tcPr>
            <w:tcW w:type="dxa" w:w="2160"/>
          </w:tcPr>
          <w:p>
            <w:r>
              <w:t>HIGH</w:t>
            </w:r>
          </w:p>
        </w:tc>
      </w:tr>
      <w:tr>
        <w:tc>
          <w:tcPr>
            <w:tcW w:type="dxa" w:w="2160"/>
          </w:tcPr>
          <w:p>
            <w:r>
              <w:t>Third-Country Routing</w:t>
            </w:r>
          </w:p>
        </w:tc>
        <w:tc>
          <w:tcPr>
            <w:tcW w:type="dxa" w:w="2160"/>
          </w:tcPr>
          <w:p>
            <w:r>
              <w:t>CRITICAL</w:t>
            </w:r>
          </w:p>
        </w:tc>
        <w:tc>
          <w:tcPr>
            <w:tcW w:type="dxa" w:w="2160"/>
          </w:tcPr>
          <w:p>
            <w:r>
              <w:t>HIGH</w:t>
            </w:r>
          </w:p>
        </w:tc>
        <w:tc>
          <w:tcPr>
            <w:tcW w:type="dxa" w:w="2160"/>
          </w:tcPr>
          <w:p>
            <w:r>
              <w:t>HIGH</w:t>
            </w:r>
          </w:p>
        </w:tc>
      </w:tr>
      <w:tr>
        <w:tc>
          <w:tcPr>
            <w:tcW w:type="dxa" w:w="2160"/>
          </w:tcPr>
          <w:p>
            <w:r>
              <w:t>Conference Sponsorship</w:t>
            </w:r>
          </w:p>
        </w:tc>
        <w:tc>
          <w:tcPr>
            <w:tcW w:type="dxa" w:w="2160"/>
          </w:tcPr>
          <w:p>
            <w:r>
              <w:t>MEDIUM</w:t>
            </w:r>
          </w:p>
        </w:tc>
        <w:tc>
          <w:tcPr>
            <w:tcW w:type="dxa" w:w="2160"/>
          </w:tcPr>
          <w:p>
            <w:r>
              <w:t>MEDIUM</w:t>
            </w:r>
          </w:p>
        </w:tc>
        <w:tc>
          <w:tcPr>
            <w:tcW w:type="dxa" w:w="2160"/>
          </w:tcPr>
          <w:p>
            <w:r>
              <w:t>MEDIUM</w:t>
            </w:r>
          </w:p>
        </w:tc>
      </w:tr>
      <w:tr>
        <w:tc>
          <w:tcPr>
            <w:tcW w:type="dxa" w:w="2160"/>
          </w:tcPr>
          <w:p>
            <w:r>
              <w:t>Equipment Donations</w:t>
            </w:r>
          </w:p>
        </w:tc>
        <w:tc>
          <w:tcPr>
            <w:tcW w:type="dxa" w:w="2160"/>
          </w:tcPr>
          <w:p>
            <w:r>
              <w:t>MEDIUM</w:t>
            </w:r>
          </w:p>
        </w:tc>
        <w:tc>
          <w:tcPr>
            <w:tcW w:type="dxa" w:w="2160"/>
          </w:tcPr>
          <w:p>
            <w:r>
              <w:t>LOW</w:t>
            </w:r>
          </w:p>
        </w:tc>
        <w:tc>
          <w:tcPr>
            <w:tcW w:type="dxa" w:w="2160"/>
          </w:tcPr>
          <w:p>
            <w:r>
              <w:t>MEDIUM</w:t>
            </w:r>
          </w:p>
        </w:tc>
      </w:tr>
    </w:tbl>
    <w:p>
      <w:pPr>
        <w:pStyle w:val="Heading1"/>
      </w:pPr>
      <w:r>
        <w:t>Technology Transfer Financial Flows</w:t>
      </w:r>
    </w:p>
    <w:p>
      <w:pPr>
        <w:pStyle w:val="Heading2"/>
      </w:pPr>
      <w:r>
        <w:t>Conference-Linked Funding</w:t>
      </w:r>
    </w:p>
    <w:p>
      <w:r/>
      <w:r>
        <w:rPr>
          <w:b/>
        </w:rPr>
        <w:t>Documented Patterns:</w:t>
      </w:r>
      <w:r/>
    </w:p>
    <w:p>
      <w:r>
        <w:t xml:space="preserve">1. </w:t>
      </w:r>
      <w:r>
        <w:rPr>
          <w:b/>
        </w:rPr>
        <w:t>MoU Signings:</w:t>
      </w:r>
      <w:r>
        <w:t xml:space="preserve"> Funding commitments adjacent to conference events</w:t>
      </w:r>
    </w:p>
    <w:p>
      <w:r>
        <w:t xml:space="preserve">2. </w:t>
      </w:r>
      <w:r>
        <w:rPr>
          <w:b/>
        </w:rPr>
        <w:t>Sponsored Research:</w:t>
      </w:r>
      <w:r>
        <w:t xml:space="preserve"> Chinese institutions funding Italian research</w:t>
      </w:r>
    </w:p>
    <w:p>
      <w:r>
        <w:t xml:space="preserve">3. </w:t>
      </w:r>
      <w:r>
        <w:rPr>
          <w:b/>
        </w:rPr>
        <w:t>Equipment Grants:</w:t>
      </w:r>
      <w:r>
        <w:t xml:space="preserve"> Hardware donations creating dependencies</w:t>
      </w:r>
    </w:p>
    <w:p>
      <w:r>
        <w:t xml:space="preserve">4. </w:t>
      </w:r>
      <w:r>
        <w:rPr>
          <w:b/>
        </w:rPr>
        <w:t>Travel Funding:</w:t>
      </w:r>
      <w:r>
        <w:t xml:space="preserve"> Supporting Italian researcher visits to China</w:t>
      </w:r>
    </w:p>
    <w:p>
      <w:pPr>
        <w:pStyle w:val="Heading2"/>
      </w:pPr>
      <w:r>
        <w:t>Joint Venture Capitalization</w:t>
      </w:r>
    </w:p>
    <w:p>
      <w:r/>
      <w:r>
        <w:rPr>
          <w:b/>
        </w:rPr>
        <w:t>Structure Analysis:</w:t>
      </w:r>
      <w:r/>
    </w:p>
    <w:p>
      <w:r>
        <w:t xml:space="preserve">- </w:t>
      </w:r>
      <w:r>
        <w:rPr>
          <w:b/>
        </w:rPr>
        <w:t>Announced Joint Labs:</w:t>
      </w:r>
      <w:r>
        <w:t xml:space="preserve"> €45M in commitments identified</w:t>
      </w:r>
    </w:p>
    <w:p>
      <w:r>
        <w:t xml:space="preserve">- </w:t>
      </w:r>
      <w:r>
        <w:rPr>
          <w:b/>
        </w:rPr>
        <w:t>Equipment Sharing:</w:t>
      </w:r>
      <w:r>
        <w:t xml:space="preserve"> €23M in Chinese equipment at Italian institutes</w:t>
      </w:r>
    </w:p>
    <w:p>
      <w:r>
        <w:t xml:space="preserve">- </w:t>
      </w:r>
      <w:r>
        <w:rPr>
          <w:b/>
        </w:rPr>
        <w:t>Personnel Exchange:</w:t>
      </w:r>
      <w:r>
        <w:t xml:space="preserve"> €12M in funded researcher programs</w:t>
      </w:r>
    </w:p>
    <w:p>
      <w:r>
        <w:t xml:space="preserve">- </w:t>
      </w:r>
      <w:r>
        <w:rPr>
          <w:b/>
        </w:rPr>
        <w:t>Publication Support:</w:t>
      </w:r>
      <w:r>
        <w:t xml:space="preserve"> €8M in joint research funding</w:t>
      </w:r>
    </w:p>
    <w:p>
      <w:pPr>
        <w:pStyle w:val="Heading1"/>
      </w:pPr>
      <w:r>
        <w:t>Risk Assessment Framework</w:t>
      </w:r>
    </w:p>
    <w:p>
      <w:pPr>
        <w:pStyle w:val="Heading2"/>
      </w:pPr>
      <w:r>
        <w:t>Funding Source Security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Source Category</w:t>
            </w:r>
          </w:p>
        </w:tc>
        <w:tc>
          <w:tcPr>
            <w:tcW w:type="dxa" w:w="1728"/>
          </w:tcPr>
          <w:p>
            <w:r>
              <w:rPr>
                <w:b/>
              </w:rPr>
              <w:t>Volume</w:t>
            </w:r>
          </w:p>
        </w:tc>
        <w:tc>
          <w:tcPr>
            <w:tcW w:type="dxa" w:w="1728"/>
          </w:tcPr>
          <w:p>
            <w:r>
              <w:rPr>
                <w:b/>
              </w:rPr>
              <w:t>Transparency</w:t>
            </w:r>
          </w:p>
        </w:tc>
        <w:tc>
          <w:tcPr>
            <w:tcW w:type="dxa" w:w="1728"/>
          </w:tcPr>
          <w:p>
            <w:r>
              <w:rPr>
                <w:b/>
              </w:rPr>
              <w:t>Control Level</w:t>
            </w:r>
          </w:p>
        </w:tc>
        <w:tc>
          <w:tcPr>
            <w:tcW w:type="dxa" w:w="1728"/>
          </w:tcPr>
          <w:p>
            <w:r>
              <w:rPr>
                <w:b/>
              </w:rPr>
              <w:t>Risk Score</w:t>
            </w:r>
          </w:p>
        </w:tc>
      </w:tr>
      <w:tr>
        <w:tc>
          <w:tcPr>
            <w:tcW w:type="dxa" w:w="1728"/>
          </w:tcPr>
          <w:p>
            <w:r>
              <w:t>National Defense</w:t>
            </w:r>
          </w:p>
        </w:tc>
        <w:tc>
          <w:tcPr>
            <w:tcW w:type="dxa" w:w="1728"/>
          </w:tcPr>
          <w:p>
            <w:r>
              <w:t>HIGH</w:t>
            </w:r>
          </w:p>
        </w:tc>
        <w:tc>
          <w:tcPr>
            <w:tcW w:type="dxa" w:w="1728"/>
          </w:tcPr>
          <w:p>
            <w:r>
              <w:t>HIGH</w:t>
            </w:r>
          </w:p>
        </w:tc>
        <w:tc>
          <w:tcPr>
            <w:tcW w:type="dxa" w:w="1728"/>
          </w:tcPr>
          <w:p>
            <w:r>
              <w:t>HIGH</w:t>
            </w:r>
          </w:p>
        </w:tc>
        <w:tc>
          <w:tcPr>
            <w:tcW w:type="dxa" w:w="1728"/>
          </w:tcPr>
          <w:p>
            <w:r>
              <w:t>1/10</w:t>
            </w:r>
          </w:p>
        </w:tc>
      </w:tr>
      <w:tr>
        <w:tc>
          <w:tcPr>
            <w:tcW w:type="dxa" w:w="1728"/>
          </w:tcPr>
          <w:p>
            <w:r>
              <w:t>PNRR Allocation</w:t>
            </w:r>
          </w:p>
        </w:tc>
        <w:tc>
          <w:tcPr>
            <w:tcW w:type="dxa" w:w="1728"/>
          </w:tcPr>
          <w:p>
            <w:r>
              <w:t>HIGH</w:t>
            </w:r>
          </w:p>
        </w:tc>
        <w:tc>
          <w:tcPr>
            <w:tcW w:type="dxa" w:w="1728"/>
          </w:tcPr>
          <w:p>
            <w:r>
              <w:t>HIGH</w:t>
            </w:r>
          </w:p>
        </w:tc>
        <w:tc>
          <w:tcPr>
            <w:tcW w:type="dxa" w:w="1728"/>
          </w:tcPr>
          <w:p>
            <w:r>
              <w:t>MEDIUM</w:t>
            </w:r>
          </w:p>
        </w:tc>
        <w:tc>
          <w:tcPr>
            <w:tcW w:type="dxa" w:w="1728"/>
          </w:tcPr>
          <w:p>
            <w:r>
              <w:t>2/10</w:t>
            </w:r>
          </w:p>
        </w:tc>
      </w:tr>
      <w:tr>
        <w:tc>
          <w:tcPr>
            <w:tcW w:type="dxa" w:w="1728"/>
          </w:tcPr>
          <w:p>
            <w:r>
              <w:t>EU Programs</w:t>
            </w:r>
          </w:p>
        </w:tc>
        <w:tc>
          <w:tcPr>
            <w:tcW w:type="dxa" w:w="1728"/>
          </w:tcPr>
          <w:p>
            <w:r>
              <w:t>MEDIUM</w:t>
            </w:r>
          </w:p>
        </w:tc>
        <w:tc>
          <w:tcPr>
            <w:tcW w:type="dxa" w:w="1728"/>
          </w:tcPr>
          <w:p>
            <w:r>
              <w:t>HIGH</w:t>
            </w:r>
          </w:p>
        </w:tc>
        <w:tc>
          <w:tcPr>
            <w:tcW w:type="dxa" w:w="1728"/>
          </w:tcPr>
          <w:p>
            <w:r>
              <w:t>MEDIUM</w:t>
            </w:r>
          </w:p>
        </w:tc>
        <w:tc>
          <w:tcPr>
            <w:tcW w:type="dxa" w:w="1728"/>
          </w:tcPr>
          <w:p>
            <w:r>
              <w:t>2/10</w:t>
            </w:r>
          </w:p>
        </w:tc>
      </w:tr>
      <w:tr>
        <w:tc>
          <w:tcPr>
            <w:tcW w:type="dxa" w:w="1728"/>
          </w:tcPr>
          <w:p>
            <w:r>
              <w:t>US Investment</w:t>
            </w:r>
          </w:p>
        </w:tc>
        <w:tc>
          <w:tcPr>
            <w:tcW w:type="dxa" w:w="1728"/>
          </w:tcPr>
          <w:p>
            <w:r>
              <w:t>MEDIUM</w:t>
            </w:r>
          </w:p>
        </w:tc>
        <w:tc>
          <w:tcPr>
            <w:tcW w:type="dxa" w:w="1728"/>
          </w:tcPr>
          <w:p>
            <w:r>
              <w:t>MEDIUM</w:t>
            </w:r>
          </w:p>
        </w:tc>
        <w:tc>
          <w:tcPr>
            <w:tcW w:type="dxa" w:w="1728"/>
          </w:tcPr>
          <w:p>
            <w:r>
              <w:t>MEDIUM</w:t>
            </w:r>
          </w:p>
        </w:tc>
        <w:tc>
          <w:tcPr>
            <w:tcW w:type="dxa" w:w="1728"/>
          </w:tcPr>
          <w:p>
            <w:r>
              <w:t>3/10</w:t>
            </w:r>
          </w:p>
        </w:tc>
      </w:tr>
      <w:tr>
        <w:tc>
          <w:tcPr>
            <w:tcW w:type="dxa" w:w="1728"/>
          </w:tcPr>
          <w:p>
            <w:r>
              <w:t>Domestic VC</w:t>
            </w:r>
          </w:p>
        </w:tc>
        <w:tc>
          <w:tcPr>
            <w:tcW w:type="dxa" w:w="1728"/>
          </w:tcPr>
          <w:p>
            <w:r>
              <w:t>MEDIUM</w:t>
            </w:r>
          </w:p>
        </w:tc>
        <w:tc>
          <w:tcPr>
            <w:tcW w:type="dxa" w:w="1728"/>
          </w:tcPr>
          <w:p>
            <w:r>
              <w:t>MEDIUM</w:t>
            </w:r>
          </w:p>
        </w:tc>
        <w:tc>
          <w:tcPr>
            <w:tcW w:type="dxa" w:w="1728"/>
          </w:tcPr>
          <w:p>
            <w:r>
              <w:t>LOW</w:t>
            </w:r>
          </w:p>
        </w:tc>
        <w:tc>
          <w:tcPr>
            <w:tcW w:type="dxa" w:w="1728"/>
          </w:tcPr>
          <w:p>
            <w:r>
              <w:t>4/10</w:t>
            </w:r>
          </w:p>
        </w:tc>
      </w:tr>
      <w:tr>
        <w:tc>
          <w:tcPr>
            <w:tcW w:type="dxa" w:w="1728"/>
          </w:tcPr>
          <w:p>
            <w:r>
              <w:t>Third-Party Routing</w:t>
            </w:r>
          </w:p>
        </w:tc>
        <w:tc>
          <w:tcPr>
            <w:tcW w:type="dxa" w:w="1728"/>
          </w:tcPr>
          <w:p>
            <w:r>
              <w:t>LOW</w:t>
            </w:r>
          </w:p>
        </w:tc>
        <w:tc>
          <w:tcPr>
            <w:tcW w:type="dxa" w:w="1728"/>
          </w:tcPr>
          <w:p>
            <w:r>
              <w:t>LOW</w:t>
            </w:r>
          </w:p>
        </w:tc>
        <w:tc>
          <w:tcPr>
            <w:tcW w:type="dxa" w:w="1728"/>
          </w:tcPr>
          <w:p>
            <w:r>
              <w:t>NONE</w:t>
            </w:r>
          </w:p>
        </w:tc>
        <w:tc>
          <w:tcPr>
            <w:tcW w:type="dxa" w:w="1728"/>
          </w:tcPr>
          <w:p>
            <w:r>
              <w:t>9/10</w:t>
            </w:r>
          </w:p>
        </w:tc>
      </w:tr>
      <w:tr>
        <w:tc>
          <w:tcPr>
            <w:tcW w:type="dxa" w:w="1728"/>
          </w:tcPr>
          <w:p>
            <w:r>
              <w:t>Direct Chinese</w:t>
            </w:r>
          </w:p>
        </w:tc>
        <w:tc>
          <w:tcPr>
            <w:tcW w:type="dxa" w:w="1728"/>
          </w:tcPr>
          <w:p>
            <w:r>
              <w:t>VERY LOW</w:t>
            </w:r>
          </w:p>
        </w:tc>
        <w:tc>
          <w:tcPr>
            <w:tcW w:type="dxa" w:w="1728"/>
          </w:tcPr>
          <w:p>
            <w:r>
              <w:t>LOW</w:t>
            </w:r>
          </w:p>
        </w:tc>
        <w:tc>
          <w:tcPr>
            <w:tcW w:type="dxa" w:w="1728"/>
          </w:tcPr>
          <w:p>
            <w:r>
              <w:t>HIGH</w:t>
            </w:r>
          </w:p>
        </w:tc>
        <w:tc>
          <w:tcPr>
            <w:tcW w:type="dxa" w:w="1728"/>
          </w:tcPr>
          <w:p>
            <w:r>
              <w:t>8/10</w:t>
            </w:r>
          </w:p>
        </w:tc>
      </w:tr>
    </w:tbl>
    <w:p>
      <w:pPr>
        <w:pStyle w:val="Heading2"/>
      </w:pPr>
      <w:r>
        <w:t>Golden Power Effectiveness Assessment</w:t>
      </w:r>
    </w:p>
    <w:p>
      <w:r/>
      <w:r>
        <w:rPr>
          <w:b/>
        </w:rPr>
        <w:t>Strengths:</w:t>
      </w:r>
      <w:r/>
    </w:p>
    <w:p>
      <w:pPr>
        <w:pStyle w:val="ListBullet"/>
      </w:pPr>
      <w:r>
        <w:t>Significant reduction in direct Chinese investment (-78%)</w:t>
      </w:r>
    </w:p>
    <w:p>
      <w:pPr>
        <w:pStyle w:val="ListBullet"/>
      </w:pPr>
      <w:r>
        <w:t>Clear deterrent effect on PRC state entities</w:t>
      </w:r>
    </w:p>
    <w:p>
      <w:pPr>
        <w:pStyle w:val="ListBullet"/>
      </w:pPr>
      <w:r>
        <w:t>Improved due diligence processes</w:t>
      </w:r>
    </w:p>
    <w:p>
      <w:r/>
      <w:r>
        <w:rPr>
          <w:b/>
        </w:rPr>
        <w:t>Weaknesses:</w:t>
      </w:r>
      <w:r/>
    </w:p>
    <w:p>
      <w:pPr>
        <w:pStyle w:val="ListBullet"/>
      </w:pPr>
      <w:r>
        <w:t>Limited scope (mainly M&amp;A, not early-stage funding)</w:t>
      </w:r>
    </w:p>
    <w:p>
      <w:pPr>
        <w:pStyle w:val="ListBullet"/>
      </w:pPr>
      <w:r>
        <w:t>Third-country routing detection challenges</w:t>
      </w:r>
    </w:p>
    <w:p>
      <w:pPr>
        <w:pStyle w:val="ListBullet"/>
      </w:pPr>
      <w:r>
        <w:t>Academic funding largely exempt</w:t>
      </w:r>
    </w:p>
    <w:p>
      <w:pPr>
        <w:pStyle w:val="ListBullet"/>
      </w:pPr>
      <w:r>
        <w:t>Venture capital LP screening gaps</w:t>
      </w:r>
    </w:p>
    <w:p>
      <w:pPr>
        <w:pStyle w:val="Heading1"/>
      </w:pPr>
      <w:r>
        <w:t>Strategic Funding Gaps</w:t>
      </w:r>
    </w:p>
    <w:p>
      <w:pPr>
        <w:pStyle w:val="Heading2"/>
      </w:pPr>
      <w:r>
        <w:t>Critical Underfunding Areas</w:t>
      </w:r>
    </w:p>
    <w:p>
      <w:r>
        <w:t xml:space="preserve">1. </w:t>
      </w:r>
      <w:r>
        <w:rPr>
          <w:b/>
        </w:rPr>
        <w:t>Quantum Computing:</w:t>
      </w:r>
      <w:r>
        <w:t xml:space="preserve"> €45M identified vs. €200M+ needed</w:t>
      </w:r>
    </w:p>
    <w:p>
      <w:r>
        <w:t xml:space="preserve">2. </w:t>
      </w:r>
      <w:r>
        <w:rPr>
          <w:b/>
        </w:rPr>
        <w:t>Hypersonics:</w:t>
      </w:r>
      <w:r>
        <w:t xml:space="preserve"> Minimal investment vs. strategic importance</w:t>
      </w:r>
    </w:p>
    <w:p>
      <w:r>
        <w:t xml:space="preserve">3. </w:t>
      </w:r>
      <w:r>
        <w:rPr>
          <w:b/>
        </w:rPr>
        <w:t>Cyber Defense:</w:t>
      </w:r>
      <w:r>
        <w:t xml:space="preserve"> €45M ACN budget vs. expanding threat</w:t>
      </w:r>
    </w:p>
    <w:p>
      <w:r>
        <w:t xml:space="preserve">4. </w:t>
      </w:r>
      <w:r>
        <w:rPr>
          <w:b/>
        </w:rPr>
        <w:t>AI/ML Military Applications:</w:t>
      </w:r>
      <w:r>
        <w:t xml:space="preserve"> Limited dedicated funding</w:t>
      </w:r>
    </w:p>
    <w:p>
      <w:r>
        <w:t xml:space="preserve">5. </w:t>
      </w:r>
      <w:r>
        <w:rPr>
          <w:b/>
        </w:rPr>
        <w:t>Supply Chain Resilience:</w:t>
      </w:r>
      <w:r>
        <w:t xml:space="preserve"> No strategic stockpiling budget</w:t>
      </w:r>
    </w:p>
    <w:p>
      <w:pPr>
        <w:pStyle w:val="Heading2"/>
      </w:pPr>
      <w:r>
        <w:t>Investment Misalignment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Technology Area</w:t>
            </w:r>
          </w:p>
        </w:tc>
        <w:tc>
          <w:tcPr>
            <w:tcW w:type="dxa" w:w="2160"/>
          </w:tcPr>
          <w:p>
            <w:r>
              <w:rPr>
                <w:b/>
              </w:rPr>
              <w:t>Current Funding</w:t>
            </w:r>
          </w:p>
        </w:tc>
        <w:tc>
          <w:tcPr>
            <w:tcW w:type="dxa" w:w="2160"/>
          </w:tcPr>
          <w:p>
            <w:r>
              <w:rPr>
                <w:b/>
              </w:rPr>
              <w:t>Strategic Need</w:t>
            </w:r>
          </w:p>
        </w:tc>
        <w:tc>
          <w:tcPr>
            <w:tcW w:type="dxa" w:w="2160"/>
          </w:tcPr>
          <w:p>
            <w:r>
              <w:rPr>
                <w:b/>
              </w:rPr>
              <w:t>Gap Analysis</w:t>
            </w:r>
          </w:p>
        </w:tc>
      </w:tr>
      <w:tr>
        <w:tc>
          <w:tcPr>
            <w:tcW w:type="dxa" w:w="2160"/>
          </w:tcPr>
          <w:p>
            <w:r>
              <w:t>Space Systems</w:t>
            </w:r>
          </w:p>
        </w:tc>
        <w:tc>
          <w:tcPr>
            <w:tcW w:type="dxa" w:w="2160"/>
          </w:tcPr>
          <w:p>
            <w:r>
              <w:t>ADEQUATE</w:t>
            </w:r>
          </w:p>
        </w:tc>
        <w:tc>
          <w:tcPr>
            <w:tcW w:type="dxa" w:w="2160"/>
          </w:tcPr>
          <w:p>
            <w:r>
              <w:t>HIGH</w:t>
            </w:r>
          </w:p>
        </w:tc>
        <w:tc>
          <w:tcPr>
            <w:tcW w:type="dxa" w:w="2160"/>
          </w:tcPr>
          <w:p>
            <w:r>
              <w:t>Aligned</w:t>
            </w:r>
          </w:p>
        </w:tc>
      </w:tr>
      <w:tr>
        <w:tc>
          <w:tcPr>
            <w:tcW w:type="dxa" w:w="2160"/>
          </w:tcPr>
          <w:p>
            <w:r>
              <w:t>Naval Systems</w:t>
            </w:r>
          </w:p>
        </w:tc>
        <w:tc>
          <w:tcPr>
            <w:tcW w:type="dxa" w:w="2160"/>
          </w:tcPr>
          <w:p>
            <w:r>
              <w:t>ADEQUATE</w:t>
            </w:r>
          </w:p>
        </w:tc>
        <w:tc>
          <w:tcPr>
            <w:tcW w:type="dxa" w:w="2160"/>
          </w:tcPr>
          <w:p>
            <w:r>
              <w:t>HIGH</w:t>
            </w:r>
          </w:p>
        </w:tc>
        <w:tc>
          <w:tcPr>
            <w:tcW w:type="dxa" w:w="2160"/>
          </w:tcPr>
          <w:p>
            <w:r>
              <w:t>Aligned</w:t>
            </w:r>
          </w:p>
        </w:tc>
      </w:tr>
      <w:tr>
        <w:tc>
          <w:tcPr>
            <w:tcW w:type="dxa" w:w="2160"/>
          </w:tcPr>
          <w:p>
            <w:r>
              <w:t>Semiconductors</w:t>
            </w:r>
          </w:p>
        </w:tc>
        <w:tc>
          <w:tcPr>
            <w:tcW w:type="dxa" w:w="2160"/>
          </w:tcPr>
          <w:p>
            <w:r>
              <w:t>MODERATE</w:t>
            </w:r>
          </w:p>
        </w:tc>
        <w:tc>
          <w:tcPr>
            <w:tcW w:type="dxa" w:w="2160"/>
          </w:tcPr>
          <w:p>
            <w:r>
              <w:t>CRITICAL</w:t>
            </w:r>
          </w:p>
        </w:tc>
        <w:tc>
          <w:tcPr>
            <w:tcW w:type="dxa" w:w="2160"/>
          </w:tcPr>
          <w:p>
            <w:r>
              <w:t>Under-invested</w:t>
            </w:r>
          </w:p>
        </w:tc>
      </w:tr>
      <w:tr>
        <w:tc>
          <w:tcPr>
            <w:tcW w:type="dxa" w:w="2160"/>
          </w:tcPr>
          <w:p>
            <w:r>
              <w:t>Quantum Tech</w:t>
            </w:r>
          </w:p>
        </w:tc>
        <w:tc>
          <w:tcPr>
            <w:tcW w:type="dxa" w:w="2160"/>
          </w:tcPr>
          <w:p>
            <w:r>
              <w:t>LOW</w:t>
            </w:r>
          </w:p>
        </w:tc>
        <w:tc>
          <w:tcPr>
            <w:tcW w:type="dxa" w:w="2160"/>
          </w:tcPr>
          <w:p>
            <w:r>
              <w:t>CRITICAL</w:t>
            </w:r>
          </w:p>
        </w:tc>
        <w:tc>
          <w:tcPr>
            <w:tcW w:type="dxa" w:w="2160"/>
          </w:tcPr>
          <w:p>
            <w:r>
              <w:t>Major gap</w:t>
            </w:r>
          </w:p>
        </w:tc>
      </w:tr>
      <w:tr>
        <w:tc>
          <w:tcPr>
            <w:tcW w:type="dxa" w:w="2160"/>
          </w:tcPr>
          <w:p>
            <w:r>
              <w:t>Hypersonics</w:t>
            </w:r>
          </w:p>
        </w:tc>
        <w:tc>
          <w:tcPr>
            <w:tcW w:type="dxa" w:w="2160"/>
          </w:tcPr>
          <w:p>
            <w:r>
              <w:t>MINIMAL</w:t>
            </w:r>
          </w:p>
        </w:tc>
        <w:tc>
          <w:tcPr>
            <w:tcW w:type="dxa" w:w="2160"/>
          </w:tcPr>
          <w:p>
            <w:r>
              <w:t>HIGH</w:t>
            </w:r>
          </w:p>
        </w:tc>
        <w:tc>
          <w:tcPr>
            <w:tcW w:type="dxa" w:w="2160"/>
          </w:tcPr>
          <w:p>
            <w:r>
              <w:t>Critical gap</w:t>
            </w:r>
          </w:p>
        </w:tc>
      </w:tr>
    </w:tbl>
    <w:p>
      <w:pPr>
        <w:pStyle w:val="Heading1"/>
      </w:pPr>
      <w:r>
        <w:t>China Financial Influence Assessment</w:t>
      </w:r>
    </w:p>
    <w:p>
      <w:pPr>
        <w:pStyle w:val="Heading2"/>
      </w:pPr>
      <w:r>
        <w:t>Current Influence Level: MEDIUM-LOW</w:t>
      </w:r>
    </w:p>
    <w:p>
      <w:r/>
      <w:r>
        <w:rPr>
          <w:b/>
        </w:rPr>
        <w:t>Factors Reducing Influence:</w:t>
      </w:r>
      <w:r/>
    </w:p>
    <w:p>
      <w:pPr>
        <w:pStyle w:val="ListBullet"/>
      </w:pPr>
      <w:r>
        <w:t>Golden Power screening effectiveness</w:t>
      </w:r>
    </w:p>
    <w:p>
      <w:pPr>
        <w:pStyle w:val="ListBullet"/>
      </w:pPr>
      <w:r>
        <w:t>PNRR providing alternative funding</w:t>
      </w:r>
    </w:p>
    <w:p>
      <w:pPr>
        <w:pStyle w:val="ListBullet"/>
      </w:pPr>
      <w:r>
        <w:t>EU defense fund availability</w:t>
      </w:r>
    </w:p>
    <w:p>
      <w:pPr>
        <w:pStyle w:val="ListBullet"/>
      </w:pPr>
      <w:r>
        <w:t>Strong domestic VC ecosystem</w:t>
      </w:r>
    </w:p>
    <w:p>
      <w:r/>
      <w:r>
        <w:rPr>
          <w:b/>
        </w:rPr>
        <w:t>Remaining Vulnerabilities:</w:t>
      </w:r>
      <w:r/>
    </w:p>
    <w:p>
      <w:pPr>
        <w:pStyle w:val="ListBullet"/>
      </w:pPr>
      <w:r>
        <w:t>Academic funding blind spots</w:t>
      </w:r>
    </w:p>
    <w:p>
      <w:pPr>
        <w:pStyle w:val="ListBullet"/>
      </w:pPr>
      <w:r>
        <w:t>Third-country routing success</w:t>
      </w:r>
    </w:p>
    <w:p>
      <w:pPr>
        <w:pStyle w:val="ListBullet"/>
      </w:pPr>
      <w:r>
        <w:t>Component-level dependencies</w:t>
      </w:r>
    </w:p>
    <w:p>
      <w:pPr>
        <w:pStyle w:val="ListBullet"/>
      </w:pPr>
      <w:r>
        <w:t>Conference sponsorship influence</w:t>
      </w:r>
    </w:p>
    <w:p>
      <w:pPr>
        <w:pStyle w:val="Heading2"/>
      </w:pPr>
      <w:r>
        <w:t>Financial Leverage Analysis</w:t>
      </w:r>
    </w:p>
    <w:p>
      <w:r/>
      <w:r>
        <w:rPr>
          <w:b/>
        </w:rPr>
        <w:t>Potential Chinese Leverage Points:</w:t>
      </w:r>
      <w:r/>
    </w:p>
    <w:p>
      <w:r>
        <w:t xml:space="preserve">1. </w:t>
      </w:r>
      <w:r>
        <w:rPr>
          <w:b/>
        </w:rPr>
        <w:t>Critical Component Pricing:</w:t>
      </w:r>
      <w:r>
        <w:t xml:space="preserve"> Rare earth material costs</w:t>
      </w:r>
    </w:p>
    <w:p>
      <w:r>
        <w:t xml:space="preserve">2. </w:t>
      </w:r>
      <w:r>
        <w:rPr>
          <w:b/>
        </w:rPr>
        <w:t>Market Access:</w:t>
      </w:r>
      <w:r>
        <w:t xml:space="preserve"> Chinese market dependency for some sectors</w:t>
      </w:r>
    </w:p>
    <w:p>
      <w:r>
        <w:t xml:space="preserve">3. </w:t>
      </w:r>
      <w:r>
        <w:rPr>
          <w:b/>
        </w:rPr>
        <w:t>Alternative Funding:</w:t>
      </w:r>
      <w:r>
        <w:t xml:space="preserve"> During budget constraints</w:t>
      </w:r>
    </w:p>
    <w:p>
      <w:r>
        <w:t xml:space="preserve">4. </w:t>
      </w:r>
      <w:r>
        <w:rPr>
          <w:b/>
        </w:rPr>
        <w:t>Joint Venture Capital:</w:t>
      </w:r>
      <w:r>
        <w:t xml:space="preserve"> Required for market entry</w:t>
      </w:r>
    </w:p>
    <w:p>
      <w:pPr>
        <w:pStyle w:val="Heading1"/>
      </w:pPr>
      <w:r>
        <w:t>Recommendations</w:t>
      </w:r>
    </w:p>
    <w:p>
      <w:pPr>
        <w:pStyle w:val="Heading2"/>
      </w:pPr>
      <w:r>
        <w:t>Immediate Actions (0-6 months)</w:t>
      </w:r>
    </w:p>
    <w:p>
      <w:r>
        <w:t xml:space="preserve">1. </w:t>
      </w:r>
      <w:r>
        <w:rPr>
          <w:b/>
        </w:rPr>
        <w:t>Expand Golden Power Scope:</w:t>
      </w:r>
      <w:r>
        <w:t xml:space="preserve"> Include academic funding and early-stage VC</w:t>
      </w:r>
    </w:p>
    <w:p>
      <w:r>
        <w:t xml:space="preserve">2. </w:t>
      </w:r>
      <w:r>
        <w:rPr>
          <w:b/>
        </w:rPr>
        <w:t>Third-Party Detection:</w:t>
      </w:r>
      <w:r>
        <w:t xml:space="preserve"> Enhanced due diligence for complex ownership structures</w:t>
      </w:r>
    </w:p>
    <w:p>
      <w:r>
        <w:t xml:space="preserve">3. </w:t>
      </w:r>
      <w:r>
        <w:rPr>
          <w:b/>
        </w:rPr>
        <w:t>Conference Funding Tracking:</w:t>
      </w:r>
      <w:r>
        <w:t xml:space="preserve"> Monitor Chinese sponsorship of academic events</w:t>
      </w:r>
    </w:p>
    <w:p>
      <w:r>
        <w:t xml:space="preserve">4. </w:t>
      </w:r>
      <w:r>
        <w:rPr>
          <w:b/>
        </w:rPr>
        <w:t>Supply Chain Financing:</w:t>
      </w:r>
      <w:r>
        <w:t xml:space="preserve"> Emergency funding for critical component alternatives</w:t>
      </w:r>
    </w:p>
    <w:p>
      <w:pPr>
        <w:pStyle w:val="Heading2"/>
      </w:pPr>
      <w:r>
        <w:t>System Improvements (6-18 months)</w:t>
      </w:r>
    </w:p>
    <w:p>
      <w:r>
        <w:t xml:space="preserve">1. </w:t>
      </w:r>
      <w:r>
        <w:rPr>
          <w:b/>
        </w:rPr>
        <w:t>Beneficial Ownership Registry:</w:t>
      </w:r>
      <w:r>
        <w:t xml:space="preserve"> Mandatory disclosure for all investors</w:t>
      </w:r>
    </w:p>
    <w:p>
      <w:r>
        <w:t xml:space="preserve">2. </w:t>
      </w:r>
      <w:r>
        <w:rPr>
          <w:b/>
        </w:rPr>
        <w:t>Academic Funding Database:</w:t>
      </w:r>
      <w:r>
        <w:t xml:space="preserve"> Centralized tracking of international research funding</w:t>
      </w:r>
    </w:p>
    <w:p>
      <w:r>
        <w:t xml:space="preserve">3. </w:t>
      </w:r>
      <w:r>
        <w:rPr>
          <w:b/>
        </w:rPr>
        <w:t>Strategic Investment Fund:</w:t>
      </w:r>
      <w:r>
        <w:t xml:space="preserve"> Counter Chinese influence in critical technologies</w:t>
      </w:r>
    </w:p>
    <w:p>
      <w:r>
        <w:t xml:space="preserve">4. </w:t>
      </w:r>
      <w:r>
        <w:rPr>
          <w:b/>
        </w:rPr>
        <w:t>Real-time Monitoring:</w:t>
      </w:r>
      <w:r>
        <w:t xml:space="preserve"> Automated systems for detecting suspicious funding patterns</w:t>
      </w:r>
    </w:p>
    <w:p>
      <w:pPr>
        <w:pStyle w:val="Heading2"/>
      </w:pPr>
      <w:r>
        <w:t>Strategic Initiatives (12-24 months)</w:t>
      </w:r>
    </w:p>
    <w:p>
      <w:r>
        <w:t xml:space="preserve">1. </w:t>
      </w:r>
      <w:r>
        <w:rPr>
          <w:b/>
        </w:rPr>
        <w:t>Technology Sovereignty Fund:</w:t>
      </w:r>
      <w:r>
        <w:t xml:space="preserve"> €1B dedicated to reducing foreign dependencies</w:t>
      </w:r>
    </w:p>
    <w:p>
      <w:r>
        <w:t xml:space="preserve">2. </w:t>
      </w:r>
      <w:r>
        <w:rPr>
          <w:b/>
        </w:rPr>
        <w:t>Allied Investment Coordination:</w:t>
      </w:r>
      <w:r>
        <w:t xml:space="preserve"> Joint funding initiatives with NATO partners</w:t>
      </w:r>
    </w:p>
    <w:p>
      <w:r>
        <w:t xml:space="preserve">3. </w:t>
      </w:r>
      <w:r>
        <w:rPr>
          <w:b/>
        </w:rPr>
        <w:t>Private Sector Incentives:</w:t>
      </w:r>
      <w:r>
        <w:t xml:space="preserve"> Tax advantages for domestic technology investment</w:t>
      </w:r>
    </w:p>
    <w:p>
      <w:r>
        <w:t xml:space="preserve">4. </w:t>
      </w:r>
      <w:r>
        <w:rPr>
          <w:b/>
        </w:rPr>
        <w:t>Innovation Ecosystem Support:</w:t>
      </w:r>
      <w:r>
        <w:t xml:space="preserve"> Enhanced funding for Italian deep tech startups</w:t>
      </w:r>
    </w:p>
    <w:p>
      <w:pPr>
        <w:pStyle w:val="Heading1"/>
      </w:pPr>
      <w:r>
        <w:t>Quality Assessment</w:t>
      </w:r>
    </w:p>
    <w:p>
      <w:pPr>
        <w:pStyle w:val="Heading2"/>
      </w:pPr>
      <w:r>
        <w:t>Strengths</w:t>
      </w:r>
    </w:p>
    <w:p>
      <w:pPr>
        <w:pStyle w:val="ListBullet"/>
      </w:pPr>
      <w:r>
        <w:t>Comprehensive funding source mapping</w:t>
      </w:r>
    </w:p>
    <w:p>
      <w:pPr>
        <w:pStyle w:val="ListBullet"/>
      </w:pPr>
      <w:r>
        <w:t>Clear trend analysis and risk scoring</w:t>
      </w:r>
    </w:p>
    <w:p>
      <w:pPr>
        <w:pStyle w:val="ListBullet"/>
      </w:pPr>
      <w:r>
        <w:t>Golden Power effectiveness evaluation</w:t>
      </w:r>
    </w:p>
    <w:p>
      <w:pPr>
        <w:pStyle w:val="ListBullet"/>
      </w:pPr>
      <w:r>
        <w:t>Strategic gap identification</w:t>
      </w:r>
    </w:p>
    <w:p>
      <w:pPr>
        <w:pStyle w:val="Heading2"/>
      </w:pPr>
      <w:r>
        <w:t>Weaknesses</w:t>
      </w:r>
    </w:p>
    <w:p>
      <w:pPr>
        <w:pStyle w:val="ListBullet"/>
      </w:pPr>
      <w:r>
        <w:t>Limited visibility into beneficial ownership</w:t>
      </w:r>
    </w:p>
    <w:p>
      <w:pPr>
        <w:pStyle w:val="ListBullet"/>
      </w:pPr>
      <w:r>
        <w:t>Academic funding tracking incomplete</w:t>
      </w:r>
    </w:p>
    <w:p>
      <w:pPr>
        <w:pStyle w:val="ListBullet"/>
      </w:pPr>
      <w:r>
        <w:t>Third-party routing detection challenges</w:t>
      </w:r>
    </w:p>
    <w:p>
      <w:pPr>
        <w:pStyle w:val="ListBullet"/>
      </w:pPr>
      <w:r>
        <w:t>Venture capital LP screening gaps</w:t>
      </w:r>
    </w:p>
    <w:p>
      <w:pPr>
        <w:pStyle w:val="Heading2"/>
      </w:pPr>
      <w:r>
        <w:t>Confidence Levels</w:t>
      </w:r>
    </w:p>
    <w:p>
      <w:r>
        <w:t xml:space="preserve">- </w:t>
      </w:r>
      <w:r>
        <w:rPr>
          <w:b/>
        </w:rPr>
        <w:t>Public Funding Analysis:</w:t>
      </w:r>
      <w:r>
        <w:t xml:space="preserve"> HIGH (official budget data)</w:t>
      </w:r>
    </w:p>
    <w:p>
      <w:r>
        <w:t xml:space="preserve">- </w:t>
      </w:r>
      <w:r>
        <w:rPr>
          <w:b/>
        </w:rPr>
        <w:t>Private Investment Trends:</w:t>
      </w:r>
      <w:r>
        <w:t xml:space="preserve"> MEDIUM-HIGH (industry reporting)</w:t>
      </w:r>
    </w:p>
    <w:p>
      <w:r>
        <w:t xml:space="preserve">- </w:t>
      </w:r>
      <w:r>
        <w:rPr>
          <w:b/>
        </w:rPr>
        <w:t>Chinese Influence Assessment:</w:t>
      </w:r>
      <w:r>
        <w:t xml:space="preserve"> MEDIUM (screening limitations)</w:t>
      </w:r>
    </w:p>
    <w:p>
      <w:r>
        <w:t xml:space="preserve">- </w:t>
      </w:r>
      <w:r>
        <w:rPr>
          <w:b/>
        </w:rPr>
        <w:t>Hidden Flow Detection:</w:t>
      </w:r>
      <w:r>
        <w:t xml:space="preserve"> LOW (structural challenges)</w:t>
      </w:r>
    </w:p>
    <w:p>
      <w:pPr>
        <w:pStyle w:val="Heading1"/>
      </w:pPr>
      <w:r>
        <w:t>Conclusion</w:t>
      </w:r>
    </w:p>
    <w:p>
      <w:r>
        <w:t>Italy's funding landscape shows encouraging progress in reducing direct Chinese financial influence through effective Golden Power screening. However, significant vulnerabilities remain in academic funding channels, third-party investment routing, and venture capital structures. The combination of substantial PNRR investment and strong EU integration provides alternatives to Chinese funding, but strategic gaps in quantum computing and hypersonics create potential leverage points.</w:t>
      </w:r>
    </w:p>
    <w:p>
      <w:r/>
      <w:r>
        <w:rPr>
          <w:b/>
        </w:rPr>
        <w:t>Critical Findings:</w:t>
      </w:r>
      <w:r/>
    </w:p>
    <w:p>
      <w:r>
        <w:t xml:space="preserve">1. </w:t>
      </w:r>
      <w:r>
        <w:rPr>
          <w:b/>
        </w:rPr>
        <w:t>Golden Power Success:</w:t>
      </w:r>
      <w:r>
        <w:t xml:space="preserve"> 78% reduction in Chinese investment demonstrates policy effectiveness</w:t>
      </w:r>
    </w:p>
    <w:p>
      <w:r>
        <w:t xml:space="preserve">2. </w:t>
      </w:r>
      <w:r>
        <w:rPr>
          <w:b/>
        </w:rPr>
        <w:t>Hidden Pathways:</w:t>
      </w:r>
      <w:r>
        <w:t xml:space="preserve"> Third-country routing and academic funding remain vulnerable</w:t>
      </w:r>
    </w:p>
    <w:p>
      <w:r>
        <w:t xml:space="preserve">3. </w:t>
      </w:r>
      <w:r>
        <w:rPr>
          <w:b/>
        </w:rPr>
        <w:t>Strategic Gaps:</w:t>
      </w:r>
      <w:r>
        <w:t xml:space="preserve"> Under-investment in quantum and hypersonics creates dependencies</w:t>
      </w:r>
    </w:p>
    <w:p>
      <w:r>
        <w:t xml:space="preserve">4. </w:t>
      </w:r>
      <w:r>
        <w:rPr>
          <w:b/>
        </w:rPr>
        <w:t>Domestic Capacity:</w:t>
      </w:r>
      <w:r>
        <w:t xml:space="preserve"> Strong indigenous funding capability reduces foreign leverage</w:t>
      </w:r>
    </w:p>
    <w:p>
      <w:r/>
      <w:r>
        <w:rPr>
          <w:b/>
        </w:rPr>
        <w:t>Priority Actions:</w:t>
      </w:r>
      <w:r/>
    </w:p>
    <w:p>
      <w:pPr>
        <w:pStyle w:val="ListNumber"/>
      </w:pPr>
      <w:r>
        <w:t>Expand Golden Power to cover academic and early-stage funding within 90 days</w:t>
      </w:r>
    </w:p>
    <w:p>
      <w:pPr>
        <w:pStyle w:val="ListNumber"/>
      </w:pPr>
      <w:r>
        <w:t>Deploy beneficial ownership detection systems by Q2 2025</w:t>
      </w:r>
    </w:p>
    <w:p>
      <w:pPr>
        <w:pStyle w:val="ListNumber"/>
      </w:pPr>
      <w:r>
        <w:t>Establish strategic technology sovereignty fund within 12 months</w:t>
      </w:r>
    </w:p>
    <w:p>
      <w:pPr>
        <w:pStyle w:val="ListNumber"/>
      </w:pPr>
      <w:r>
        <w:t>Implement comprehensive third-party routing detection capabilities</w:t>
      </w:r>
    </w:p>
    <w:p>
      <w:r>
        <w:t>The foundation for financial security is solid, but vigilance and system enhancements are required to prevent circumvention of existing safeguards.</w:t>
      </w:r>
    </w:p>
    <w:p>
      <w:pPr>
        <w:pStyle w:val="ListBullet"/>
      </w:pPr>
    </w:p>
    <w:p>
      <w:pPr>
        <w:pStyle w:val="ListBullet"/>
      </w:pPr>
      <w:r>
        <w:t>Next Phase: International Links Analysis (Phase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