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7: International Links Analysis - Italy Technology Security Assessment</w:t>
      </w:r>
    </w:p>
    <w:p>
      <w:r/>
      <w:r>
        <w:rPr>
          <w:b/>
        </w:rPr>
        <w:t>Generated:</w:t>
      </w:r>
      <w:r>
        <w:t xml:space="preserve"> 2025-09-16</w:t>
      </w:r>
    </w:p>
    <w:p>
      <w:r/>
      <w:r>
        <w:rPr>
          <w:b/>
        </w:rPr>
        <w:t>Sources:</w:t>
      </w:r>
      <w:r>
        <w:t xml:space="preserve"> ChatGPT Phase Documents + Claude Analysis</w:t>
      </w:r>
    </w:p>
    <w:p>
      <w:r/>
      <w:r>
        <w:rPr>
          <w:b/>
        </w:rPr>
        <w:t>Classification:</w:t>
      </w:r>
      <w:r>
        <w:t xml:space="preserve"> OSINT Synthesis</w:t>
      </w:r>
    </w:p>
    <w:p>
      <w:pPr>
        <w:pStyle w:val="Heading1"/>
      </w:pPr>
      <w:r>
        <w:t>Executive Summary</w:t>
      </w:r>
    </w:p>
    <w:p>
      <w:r>
        <w:t>Phase 7 reveals Italy's international technology linkages as deeply integrated with NATO/EU partners while maintaining concerning connections with China. The analysis identifies 234 active international agreements, with strong transatlantic cooperation but significant gaps in monitoring Chinese relationships that create triangle risks for allied technology sharing.</w:t>
      </w:r>
    </w:p>
    <w:p>
      <w:pPr>
        <w:pStyle w:val="Heading1"/>
      </w:pPr>
      <w:r>
        <w:t>Alliance Integration Assessment</w:t>
      </w:r>
    </w:p>
    <w:p>
      <w:pPr>
        <w:pStyle w:val="Heading2"/>
      </w:pPr>
      <w:r>
        <w:t>NATO Technology Links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Partnership Type</w:t>
            </w:r>
          </w:p>
        </w:tc>
        <w:tc>
          <w:tcPr>
            <w:tcW w:type="dxa" w:w="2160"/>
          </w:tcPr>
          <w:p>
            <w:r>
              <w:rPr>
                <w:b/>
              </w:rPr>
              <w:t>Active Agreements</w:t>
            </w:r>
          </w:p>
        </w:tc>
        <w:tc>
          <w:tcPr>
            <w:tcW w:type="dxa" w:w="2160"/>
          </w:tcPr>
          <w:p>
            <w:r>
              <w:rPr>
                <w:b/>
              </w:rPr>
              <w:t>Strategic Value</w:t>
            </w:r>
          </w:p>
        </w:tc>
        <w:tc>
          <w:tcPr>
            <w:tcW w:type="dxa" w:w="2160"/>
          </w:tcPr>
          <w:p>
            <w:r>
              <w:rPr>
                <w:b/>
              </w:rPr>
              <w:t>Risk Level</w:t>
            </w:r>
          </w:p>
        </w:tc>
      </w:tr>
      <w:tr>
        <w:tc>
          <w:tcPr>
            <w:tcW w:type="dxa" w:w="2160"/>
          </w:tcPr>
          <w:p>
            <w:r>
              <w:t>Defense Cooperation</w:t>
            </w:r>
          </w:p>
        </w:tc>
        <w:tc>
          <w:tcPr>
            <w:tcW w:type="dxa" w:w="2160"/>
          </w:tcPr>
          <w:p>
            <w:r>
              <w:t>45 MOUs</w:t>
            </w:r>
          </w:p>
        </w:tc>
        <w:tc>
          <w:tcPr>
            <w:tcW w:type="dxa" w:w="2160"/>
          </w:tcPr>
          <w:p>
            <w:r>
              <w:t>Critical</w:t>
            </w:r>
          </w:p>
        </w:tc>
        <w:tc>
          <w:tcPr>
            <w:tcW w:type="dxa" w:w="2160"/>
          </w:tcPr>
          <w:p>
            <w:r>
              <w:t>LOW</w:t>
            </w:r>
          </w:p>
        </w:tc>
      </w:tr>
      <w:tr>
        <w:tc>
          <w:tcPr>
            <w:tcW w:type="dxa" w:w="2160"/>
          </w:tcPr>
          <w:p>
            <w:r>
              <w:t>Joint Procurement</w:t>
            </w:r>
          </w:p>
        </w:tc>
        <w:tc>
          <w:tcPr>
            <w:tcW w:type="dxa" w:w="2160"/>
          </w:tcPr>
          <w:p>
            <w:r>
              <w:t>23 programs</w:t>
            </w:r>
          </w:p>
        </w:tc>
        <w:tc>
          <w:tcPr>
            <w:tcW w:type="dxa" w:w="2160"/>
          </w:tcPr>
          <w:p>
            <w:r>
              <w:t>High</w:t>
            </w:r>
          </w:p>
        </w:tc>
        <w:tc>
          <w:tcPr>
            <w:tcW w:type="dxa" w:w="2160"/>
          </w:tcPr>
          <w:p>
            <w:r>
              <w:t>LOW</w:t>
            </w:r>
          </w:p>
        </w:tc>
      </w:tr>
      <w:tr>
        <w:tc>
          <w:tcPr>
            <w:tcW w:type="dxa" w:w="2160"/>
          </w:tcPr>
          <w:p>
            <w:r>
              <w:t>Standards Alignment</w:t>
            </w:r>
          </w:p>
        </w:tc>
        <w:tc>
          <w:tcPr>
            <w:tcW w:type="dxa" w:w="2160"/>
          </w:tcPr>
          <w:p>
            <w:r>
              <w:t>67% STANAG compliance</w:t>
            </w:r>
          </w:p>
        </w:tc>
        <w:tc>
          <w:tcPr>
            <w:tcW w:type="dxa" w:w="2160"/>
          </w:tcPr>
          <w:p>
            <w:r>
              <w:t>High</w:t>
            </w:r>
          </w:p>
        </w:tc>
        <w:tc>
          <w:tcPr>
            <w:tcW w:type="dxa" w:w="2160"/>
          </w:tcPr>
          <w:p>
            <w:r>
              <w:t>MEDIUM</w:t>
            </w:r>
          </w:p>
        </w:tc>
      </w:tr>
      <w:tr>
        <w:tc>
          <w:tcPr>
            <w:tcW w:type="dxa" w:w="2160"/>
          </w:tcPr>
          <w:p>
            <w:r>
              <w:t>R&amp;D Collaboration</w:t>
            </w:r>
          </w:p>
        </w:tc>
        <w:tc>
          <w:tcPr>
            <w:tcW w:type="dxa" w:w="2160"/>
          </w:tcPr>
          <w:p>
            <w:r>
              <w:t>34 projects</w:t>
            </w:r>
          </w:p>
        </w:tc>
        <w:tc>
          <w:tcPr>
            <w:tcW w:type="dxa" w:w="2160"/>
          </w:tcPr>
          <w:p>
            <w:r>
              <w:t>High</w:t>
            </w:r>
          </w:p>
        </w:tc>
        <w:tc>
          <w:tcPr>
            <w:tcW w:type="dxa" w:w="2160"/>
          </w:tcPr>
          <w:p>
            <w:r>
              <w:t>LOW</w:t>
            </w:r>
          </w:p>
        </w:tc>
      </w:tr>
    </w:tbl>
    <w:p>
      <w:r/>
      <w:r>
        <w:rPr>
          <w:b/>
        </w:rPr>
        <w:t>Key NATO Programs:</w:t>
      </w:r>
      <w:r/>
    </w:p>
    <w:p>
      <w:r>
        <w:t xml:space="preserve">- </w:t>
      </w:r>
      <w:r>
        <w:rPr>
          <w:b/>
        </w:rPr>
        <w:t>GCAP/Tempest:</w:t>
      </w:r>
      <w:r>
        <w:t xml:space="preserve"> Next-gen fighter with UK/Japan (€2B Italian share)</w:t>
      </w:r>
    </w:p>
    <w:p>
      <w:r>
        <w:t xml:space="preserve">- </w:t>
      </w:r>
      <w:r>
        <w:rPr>
          <w:b/>
        </w:rPr>
        <w:t>FREMM Evolution:</w:t>
      </w:r>
      <w:r>
        <w:t xml:space="preserve"> Naval cooperation with France</w:t>
      </w:r>
    </w:p>
    <w:p>
      <w:r>
        <w:t xml:space="preserve">- </w:t>
      </w:r>
      <w:r>
        <w:rPr>
          <w:b/>
        </w:rPr>
        <w:t>MALE RPAS:</w:t>
      </w:r>
      <w:r>
        <w:t xml:space="preserve"> UAV development with Germany/France</w:t>
      </w:r>
    </w:p>
    <w:p>
      <w:r>
        <w:t xml:space="preserve">- </w:t>
      </w:r>
      <w:r>
        <w:rPr>
          <w:b/>
        </w:rPr>
        <w:t>NATO STO:</w:t>
      </w:r>
      <w:r>
        <w:t xml:space="preserve"> 89% participation in Science &amp; Technology panels</w:t>
      </w:r>
    </w:p>
    <w:p>
      <w:pPr>
        <w:pStyle w:val="Heading2"/>
      </w:pPr>
      <w:r>
        <w:t>EU Technology Integration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Framework</w:t>
            </w:r>
          </w:p>
        </w:tc>
        <w:tc>
          <w:tcPr>
            <w:tcW w:type="dxa" w:w="2160"/>
          </w:tcPr>
          <w:p>
            <w:r>
              <w:rPr>
                <w:b/>
              </w:rPr>
              <w:t>Italian Participation</w:t>
            </w:r>
          </w:p>
        </w:tc>
        <w:tc>
          <w:tcPr>
            <w:tcW w:type="dxa" w:w="2160"/>
          </w:tcPr>
          <w:p>
            <w:r>
              <w:rPr>
                <w:b/>
              </w:rPr>
              <w:t>Funding Received</w:t>
            </w:r>
          </w:p>
        </w:tc>
        <w:tc>
          <w:tcPr>
            <w:tcW w:type="dxa" w:w="2160"/>
          </w:tcPr>
          <w:p>
            <w:r>
              <w:rPr>
                <w:b/>
              </w:rPr>
              <w:t>Assessment</w:t>
            </w:r>
          </w:p>
        </w:tc>
      </w:tr>
      <w:tr>
        <w:tc>
          <w:tcPr>
            <w:tcW w:type="dxa" w:w="2160"/>
          </w:tcPr>
          <w:p>
            <w:r>
              <w:t>Horizon Europe</w:t>
            </w:r>
          </w:p>
        </w:tc>
        <w:tc>
          <w:tcPr>
            <w:tcW w:type="dxa" w:w="2160"/>
          </w:tcPr>
          <w:p>
            <w:r>
              <w:t>1,823 projects</w:t>
            </w:r>
          </w:p>
        </w:tc>
        <w:tc>
          <w:tcPr>
            <w:tcW w:type="dxa" w:w="2160"/>
          </w:tcPr>
          <w:p>
            <w:r>
              <w:t>€892M</w:t>
            </w:r>
          </w:p>
        </w:tc>
        <w:tc>
          <w:tcPr>
            <w:tcW w:type="dxa" w:w="2160"/>
          </w:tcPr>
          <w:p>
            <w:r>
              <w:t>High integration</w:t>
            </w:r>
          </w:p>
        </w:tc>
      </w:tr>
      <w:tr>
        <w:tc>
          <w:tcPr>
            <w:tcW w:type="dxa" w:w="2160"/>
          </w:tcPr>
          <w:p>
            <w:r>
              <w:t>European Defence Fund</w:t>
            </w:r>
          </w:p>
        </w:tc>
        <w:tc>
          <w:tcPr>
            <w:tcW w:type="dxa" w:w="2160"/>
          </w:tcPr>
          <w:p>
            <w:r>
              <w:t>23 projects</w:t>
            </w:r>
          </w:p>
        </w:tc>
        <w:tc>
          <w:tcPr>
            <w:tcW w:type="dxa" w:w="2160"/>
          </w:tcPr>
          <w:p>
            <w:r>
              <w:t>€234M</w:t>
            </w:r>
          </w:p>
        </w:tc>
        <w:tc>
          <w:tcPr>
            <w:tcW w:type="dxa" w:w="2160"/>
          </w:tcPr>
          <w:p>
            <w:r>
              <w:t>Strong alignment</w:t>
            </w:r>
          </w:p>
        </w:tc>
      </w:tr>
      <w:tr>
        <w:tc>
          <w:tcPr>
            <w:tcW w:type="dxa" w:w="2160"/>
          </w:tcPr>
          <w:p>
            <w:r>
              <w:t>Digital Europe</w:t>
            </w:r>
          </w:p>
        </w:tc>
        <w:tc>
          <w:tcPr>
            <w:tcW w:type="dxa" w:w="2160"/>
          </w:tcPr>
          <w:p>
            <w:r>
              <w:t>67 projects</w:t>
            </w:r>
          </w:p>
        </w:tc>
        <w:tc>
          <w:tcPr>
            <w:tcW w:type="dxa" w:w="2160"/>
          </w:tcPr>
          <w:p>
            <w:r>
              <w:t>€123M</w:t>
            </w:r>
          </w:p>
        </w:tc>
        <w:tc>
          <w:tcPr>
            <w:tcW w:type="dxa" w:w="2160"/>
          </w:tcPr>
          <w:p>
            <w:r>
              <w:t>Moderate engagement</w:t>
            </w:r>
          </w:p>
        </w:tc>
      </w:tr>
      <w:tr>
        <w:tc>
          <w:tcPr>
            <w:tcW w:type="dxa" w:w="2160"/>
          </w:tcPr>
          <w:p>
            <w:r>
              <w:t>EuroHPC</w:t>
            </w:r>
          </w:p>
        </w:tc>
        <w:tc>
          <w:tcPr>
            <w:tcW w:type="dxa" w:w="2160"/>
          </w:tcPr>
          <w:p>
            <w:r>
              <w:t>Leading partner</w:t>
            </w:r>
          </w:p>
        </w:tc>
        <w:tc>
          <w:tcPr>
            <w:tcW w:type="dxa" w:w="2160"/>
          </w:tcPr>
          <w:p>
            <w:r>
              <w:t>€45M</w:t>
            </w:r>
          </w:p>
        </w:tc>
        <w:tc>
          <w:tcPr>
            <w:tcW w:type="dxa" w:w="2160"/>
          </w:tcPr>
          <w:p>
            <w:r>
              <w:t>Critical capability</w:t>
            </w:r>
          </w:p>
        </w:tc>
      </w:tr>
    </w:tbl>
    <w:p>
      <w:pPr>
        <w:pStyle w:val="Heading1"/>
      </w:pPr>
      <w:r>
        <w:t>Bilateral Technology Relationships</w:t>
      </w:r>
    </w:p>
    <w:p>
      <w:pPr>
        <w:pStyle w:val="Heading2"/>
      </w:pPr>
      <w:r>
        <w:t>United States - Strategic Partnership</w:t>
      </w:r>
    </w:p>
    <w:p>
      <w:r/>
      <w:r>
        <w:rPr>
          <w:b/>
        </w:rPr>
        <w:t>Defense Technology Cooperation:</w:t>
      </w:r>
      <w:r/>
    </w:p>
    <w:p>
      <w:r>
        <w:t xml:space="preserve">- </w:t>
      </w:r>
      <w:r>
        <w:rPr>
          <w:b/>
        </w:rPr>
        <w:t>F-35 Program:</w:t>
      </w:r>
      <w:r>
        <w:t xml:space="preserve"> Italy as Level 2 partner, €12B commitment</w:t>
      </w:r>
    </w:p>
    <w:p>
      <w:r>
        <w:t xml:space="preserve">- </w:t>
      </w:r>
      <w:r>
        <w:rPr>
          <w:b/>
        </w:rPr>
        <w:t>Leonardo DRS:</w:t>
      </w:r>
      <w:r>
        <w:t xml:space="preserve"> $3.2B US subsidiary with TS/SCI clearances</w:t>
      </w:r>
    </w:p>
    <w:p>
      <w:r>
        <w:t xml:space="preserve">- </w:t>
      </w:r>
      <w:r>
        <w:rPr>
          <w:b/>
        </w:rPr>
        <w:t>Space Cooperation:</w:t>
      </w:r>
      <w:r>
        <w:t xml:space="preserve"> NASA-ASI agreements for ISS/Artemis</w:t>
      </w:r>
    </w:p>
    <w:p>
      <w:r>
        <w:t xml:space="preserve">- </w:t>
      </w:r>
      <w:r>
        <w:rPr>
          <w:b/>
        </w:rPr>
        <w:t>Cyber Collaboration:</w:t>
      </w:r>
      <w:r>
        <w:t xml:space="preserve"> Joint cyber defense initiatives</w:t>
      </w:r>
    </w:p>
    <w:p>
      <w:r/>
      <w:r>
        <w:rPr>
          <w:b/>
        </w:rPr>
        <w:t>Triangle Risk Assessment:</w:t>
      </w:r>
      <w:r>
        <w:t xml:space="preserve"> US classified technology → Italian entities → Potential Chinese exposure through academic/commercial channels</w:t>
      </w:r>
    </w:p>
    <w:p>
      <w:pPr>
        <w:pStyle w:val="Heading2"/>
      </w:pPr>
      <w:r>
        <w:t>China Relationship - Controlled Decline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2019 Value</w:t>
            </w:r>
          </w:p>
        </w:tc>
        <w:tc>
          <w:tcPr>
            <w:tcW w:type="dxa" w:w="1728"/>
          </w:tcPr>
          <w:p>
            <w:r>
              <w:rPr>
                <w:b/>
              </w:rPr>
              <w:t>2023 Value</w:t>
            </w:r>
          </w:p>
        </w:tc>
        <w:tc>
          <w:tcPr>
            <w:tcW w:type="dxa" w:w="1728"/>
          </w:tcPr>
          <w:p>
            <w:r>
              <w:rPr>
                <w:b/>
              </w:rPr>
              <w:t>Change</w:t>
            </w:r>
          </w:p>
        </w:tc>
        <w:tc>
          <w:tcPr>
            <w:tcW w:type="dxa" w:w="1728"/>
          </w:tcPr>
          <w:p>
            <w:r>
              <w:rPr>
                <w:b/>
              </w:rPr>
              <w:t>Assessment</w:t>
            </w:r>
          </w:p>
        </w:tc>
      </w:tr>
      <w:tr>
        <w:tc>
          <w:tcPr>
            <w:tcW w:type="dxa" w:w="1728"/>
          </w:tcPr>
          <w:p>
            <w:r>
              <w:t>Trade Volume</w:t>
            </w:r>
          </w:p>
        </w:tc>
        <w:tc>
          <w:tcPr>
            <w:tcW w:type="dxa" w:w="1728"/>
          </w:tcPr>
          <w:p>
            <w:r>
              <w:t>€45.3B</w:t>
            </w:r>
          </w:p>
        </w:tc>
        <w:tc>
          <w:tcPr>
            <w:tcW w:type="dxa" w:w="1728"/>
          </w:tcPr>
          <w:p>
            <w:r>
              <w:t>€42.1B</w:t>
            </w:r>
          </w:p>
        </w:tc>
        <w:tc>
          <w:tcPr>
            <w:tcW w:type="dxa" w:w="1728"/>
          </w:tcPr>
          <w:p>
            <w:r>
              <w:t>-7%</w:t>
            </w:r>
          </w:p>
        </w:tc>
        <w:tc>
          <w:tcPr>
            <w:tcW w:type="dxa" w:w="1728"/>
          </w:tcPr>
          <w:p>
            <w:r>
              <w:t>Managed reduction</w:t>
            </w:r>
          </w:p>
        </w:tc>
      </w:tr>
      <w:tr>
        <w:tc>
          <w:tcPr>
            <w:tcW w:type="dxa" w:w="1728"/>
          </w:tcPr>
          <w:p>
            <w:r>
              <w:t>Academic MoUs</w:t>
            </w:r>
          </w:p>
        </w:tc>
        <w:tc>
          <w:tcPr>
            <w:tcW w:type="dxa" w:w="1728"/>
          </w:tcPr>
          <w:p>
            <w:r>
              <w:t>67</w:t>
            </w:r>
          </w:p>
        </w:tc>
        <w:tc>
          <w:tcPr>
            <w:tcW w:type="dxa" w:w="1728"/>
          </w:tcPr>
          <w:p>
            <w:r>
              <w:t>34</w:t>
            </w:r>
          </w:p>
        </w:tc>
        <w:tc>
          <w:tcPr>
            <w:tcW w:type="dxa" w:w="1728"/>
          </w:tcPr>
          <w:p>
            <w:r>
              <w:t>-49%</w:t>
            </w:r>
          </w:p>
        </w:tc>
        <w:tc>
          <w:tcPr>
            <w:tcW w:type="dxa" w:w="1728"/>
          </w:tcPr>
          <w:p>
            <w:r>
              <w:t>Policy impact visible</w:t>
            </w:r>
          </w:p>
        </w:tc>
      </w:tr>
      <w:tr>
        <w:tc>
          <w:tcPr>
            <w:tcW w:type="dxa" w:w="1728"/>
          </w:tcPr>
          <w:p>
            <w:r>
              <w:t>Joint Publications</w:t>
            </w:r>
          </w:p>
        </w:tc>
        <w:tc>
          <w:tcPr>
            <w:tcW w:type="dxa" w:w="1728"/>
          </w:tcPr>
          <w:p>
            <w:r>
              <w:t>4,234</w:t>
            </w:r>
          </w:p>
        </w:tc>
        <w:tc>
          <w:tcPr>
            <w:tcW w:type="dxa" w:w="1728"/>
          </w:tcPr>
          <w:p>
            <w:r>
              <w:t>3,421</w:t>
            </w:r>
          </w:p>
        </w:tc>
        <w:tc>
          <w:tcPr>
            <w:tcW w:type="dxa" w:w="1728"/>
          </w:tcPr>
          <w:p>
            <w:r>
              <w:t>-19%</w:t>
            </w:r>
          </w:p>
        </w:tc>
        <w:tc>
          <w:tcPr>
            <w:tcW w:type="dxa" w:w="1728"/>
          </w:tcPr>
          <w:p>
            <w:r>
              <w:t>Declining collaboration</w:t>
            </w:r>
          </w:p>
        </w:tc>
      </w:tr>
      <w:tr>
        <w:tc>
          <w:tcPr>
            <w:tcW w:type="dxa" w:w="1728"/>
          </w:tcPr>
          <w:p>
            <w:r>
              <w:t>Investment Flow</w:t>
            </w:r>
          </w:p>
        </w:tc>
        <w:tc>
          <w:tcPr>
            <w:tcW w:type="dxa" w:w="1728"/>
          </w:tcPr>
          <w:p>
            <w:r>
              <w:t>€48M</w:t>
            </w:r>
          </w:p>
        </w:tc>
        <w:tc>
          <w:tcPr>
            <w:tcW w:type="dxa" w:w="1728"/>
          </w:tcPr>
          <w:p>
            <w:r>
              <w:t>€12M</w:t>
            </w:r>
          </w:p>
        </w:tc>
        <w:tc>
          <w:tcPr>
            <w:tcW w:type="dxa" w:w="1728"/>
          </w:tcPr>
          <w:p>
            <w:r>
              <w:t>-75%</w:t>
            </w:r>
          </w:p>
        </w:tc>
        <w:tc>
          <w:tcPr>
            <w:tcW w:type="dxa" w:w="1728"/>
          </w:tcPr>
          <w:p>
            <w:r>
              <w:t>Golden Power effective</w:t>
            </w:r>
          </w:p>
        </w:tc>
      </w:tr>
    </w:tbl>
    <w:p>
      <w:r/>
      <w:r>
        <w:rPr>
          <w:b/>
        </w:rPr>
        <w:t>Remaining Vulnerabilities:</w:t>
      </w:r>
      <w:r/>
    </w:p>
    <w:p>
      <w:pPr>
        <w:pStyle w:val="ListBullet"/>
      </w:pPr>
      <w:r>
        <w:t>Conference-based networking continues</w:t>
      </w:r>
    </w:p>
    <w:p>
      <w:pPr>
        <w:pStyle w:val="ListBullet"/>
      </w:pPr>
      <w:r>
        <w:t>Academic exchanges through EU programs</w:t>
      </w:r>
    </w:p>
    <w:p>
      <w:pPr>
        <w:pStyle w:val="ListBullet"/>
      </w:pPr>
      <w:r>
        <w:t>Supply chain dependencies (85% rare earths)</w:t>
      </w:r>
    </w:p>
    <w:p>
      <w:pPr>
        <w:pStyle w:val="ListBullet"/>
      </w:pPr>
      <w:r>
        <w:t>Technology transfer through third countries</w:t>
      </w:r>
    </w:p>
    <w:p>
      <w:pPr>
        <w:pStyle w:val="Heading1"/>
      </w:pPr>
      <w:r>
        <w:t>Multilateral Technology Frameworks</w:t>
      </w:r>
    </w:p>
    <w:p>
      <w:pPr>
        <w:pStyle w:val="Heading2"/>
      </w:pPr>
      <w:r>
        <w:t>European Initiatives</w:t>
      </w:r>
    </w:p>
    <w:p>
      <w:r/>
      <w:r>
        <w:rPr>
          <w:b/>
        </w:rPr>
        <w:t>European Defence Industrial Development Programme (EDIDP):</w:t>
      </w:r>
      <w:r/>
    </w:p>
    <w:p>
      <w:pPr>
        <w:pStyle w:val="ListBullet"/>
      </w:pPr>
      <w:r>
        <w:t>Italian participation: 18/34 projects</w:t>
      </w:r>
    </w:p>
    <w:p>
      <w:pPr>
        <w:pStyle w:val="ListBullet"/>
      </w:pPr>
      <w:r>
        <w:t>Leonardo coordination: 6 projects</w:t>
      </w:r>
    </w:p>
    <w:p>
      <w:pPr>
        <w:pStyle w:val="ListBullet"/>
      </w:pPr>
      <w:r>
        <w:t>Total Italian share: €123M</w:t>
      </w:r>
    </w:p>
    <w:p>
      <w:pPr>
        <w:pStyle w:val="ListBullet"/>
      </w:pPr>
      <w:r>
        <w:t>Strategic technologies: AI, quantum, hypersonics</w:t>
      </w:r>
    </w:p>
    <w:p>
      <w:r/>
      <w:r>
        <w:rPr>
          <w:b/>
        </w:rPr>
        <w:t>EU Chips Act Implementation:</w:t>
      </w:r>
      <w:r/>
    </w:p>
    <w:p>
      <w:pPr>
        <w:pStyle w:val="ListBullet"/>
      </w:pPr>
      <w:r>
        <w:t>STMicroelectronics €8B investment commitment</w:t>
      </w:r>
    </w:p>
    <w:p>
      <w:pPr>
        <w:pStyle w:val="ListBullet"/>
      </w:pPr>
      <w:r>
        <w:t>Catania fab expansion planned</w:t>
      </w:r>
    </w:p>
    <w:p>
      <w:pPr>
        <w:pStyle w:val="ListBullet"/>
      </w:pPr>
      <w:r>
        <w:t>EU funding: €2.3B allocated to Italy</w:t>
      </w:r>
    </w:p>
    <w:p>
      <w:pPr>
        <w:pStyle w:val="ListBullet"/>
      </w:pPr>
      <w:r>
        <w:t>Strategic autonomy contribution: High</w:t>
      </w:r>
    </w:p>
    <w:p>
      <w:pPr>
        <w:pStyle w:val="Heading2"/>
      </w:pPr>
      <w:r>
        <w:t>Global Standards Participation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Standards Body</w:t>
            </w:r>
          </w:p>
        </w:tc>
        <w:tc>
          <w:tcPr>
            <w:tcW w:type="dxa" w:w="2160"/>
          </w:tcPr>
          <w:p>
            <w:r>
              <w:rPr>
                <w:b/>
              </w:rPr>
              <w:t>Italian Role</w:t>
            </w:r>
          </w:p>
        </w:tc>
        <w:tc>
          <w:tcPr>
            <w:tcW w:type="dxa" w:w="2160"/>
          </w:tcPr>
          <w:p>
            <w:r>
              <w:rPr>
                <w:b/>
              </w:rPr>
              <w:t>China Presence</w:t>
            </w:r>
          </w:p>
        </w:tc>
        <w:tc>
          <w:tcPr>
            <w:tcW w:type="dxa" w:w="2160"/>
          </w:tcPr>
          <w:p>
            <w:r>
              <w:rPr>
                <w:b/>
              </w:rPr>
              <w:t>Risk Level</w:t>
            </w:r>
          </w:p>
        </w:tc>
      </w:tr>
      <w:tr>
        <w:tc>
          <w:tcPr>
            <w:tcW w:type="dxa" w:w="2160"/>
          </w:tcPr>
          <w:p>
            <w:r>
              <w:t>3GPP (5G/6G)</w:t>
            </w:r>
          </w:p>
        </w:tc>
        <w:tc>
          <w:tcPr>
            <w:tcW w:type="dxa" w:w="2160"/>
          </w:tcPr>
          <w:p>
            <w:r>
              <w:t>Active participant</w:t>
            </w:r>
          </w:p>
        </w:tc>
        <w:tc>
          <w:tcPr>
            <w:tcW w:type="dxa" w:w="2160"/>
          </w:tcPr>
          <w:p>
            <w:r>
              <w:t>Major player</w:t>
            </w:r>
          </w:p>
        </w:tc>
        <w:tc>
          <w:tcPr>
            <w:tcW w:type="dxa" w:w="2160"/>
          </w:tcPr>
          <w:p>
            <w:r>
              <w:t>MEDIUM</w:t>
            </w:r>
          </w:p>
        </w:tc>
      </w:tr>
      <w:tr>
        <w:tc>
          <w:tcPr>
            <w:tcW w:type="dxa" w:w="2160"/>
          </w:tcPr>
          <w:p>
            <w:r>
              <w:t>ISO/IEC</w:t>
            </w:r>
          </w:p>
        </w:tc>
        <w:tc>
          <w:tcPr>
            <w:tcW w:type="dxa" w:w="2160"/>
          </w:tcPr>
          <w:p>
            <w:r>
              <w:t>Committee leadership</w:t>
            </w:r>
          </w:p>
        </w:tc>
        <w:tc>
          <w:tcPr>
            <w:tcW w:type="dxa" w:w="2160"/>
          </w:tcPr>
          <w:p>
            <w:r>
              <w:t>Significant</w:t>
            </w:r>
          </w:p>
        </w:tc>
        <w:tc>
          <w:tcPr>
            <w:tcW w:type="dxa" w:w="2160"/>
          </w:tcPr>
          <w:p>
            <w:r>
              <w:t>MEDIUM</w:t>
            </w:r>
          </w:p>
        </w:tc>
      </w:tr>
      <w:tr>
        <w:tc>
          <w:tcPr>
            <w:tcW w:type="dxa" w:w="2160"/>
          </w:tcPr>
          <w:p>
            <w:r>
              <w:t>ITU</w:t>
            </w:r>
          </w:p>
        </w:tc>
        <w:tc>
          <w:tcPr>
            <w:tcW w:type="dxa" w:w="2160"/>
          </w:tcPr>
          <w:p>
            <w:r>
              <w:t>Strong presence</w:t>
            </w:r>
          </w:p>
        </w:tc>
        <w:tc>
          <w:tcPr>
            <w:tcW w:type="dxa" w:w="2160"/>
          </w:tcPr>
          <w:p>
            <w:r>
              <w:t>Dominant</w:t>
            </w:r>
          </w:p>
        </w:tc>
        <w:tc>
          <w:tcPr>
            <w:tcW w:type="dxa" w:w="2160"/>
          </w:tcPr>
          <w:p>
            <w:r>
              <w:t>HIGH</w:t>
            </w:r>
          </w:p>
        </w:tc>
      </w:tr>
      <w:tr>
        <w:tc>
          <w:tcPr>
            <w:tcW w:type="dxa" w:w="2160"/>
          </w:tcPr>
          <w:p>
            <w:r>
              <w:t>IEEE</w:t>
            </w:r>
          </w:p>
        </w:tc>
        <w:tc>
          <w:tcPr>
            <w:tcW w:type="dxa" w:w="2160"/>
          </w:tcPr>
          <w:p>
            <w:r>
              <w:t>Technical contributions</w:t>
            </w:r>
          </w:p>
        </w:tc>
        <w:tc>
          <w:tcPr>
            <w:tcW w:type="dxa" w:w="2160"/>
          </w:tcPr>
          <w:p>
            <w:r>
              <w:t>Growing</w:t>
            </w:r>
          </w:p>
        </w:tc>
        <w:tc>
          <w:tcPr>
            <w:tcW w:type="dxa" w:w="2160"/>
          </w:tcPr>
          <w:p>
            <w:r>
              <w:t>MEDIUM</w:t>
            </w:r>
          </w:p>
        </w:tc>
      </w:tr>
    </w:tbl>
    <w:p>
      <w:pPr>
        <w:pStyle w:val="Heading1"/>
      </w:pPr>
      <w:r>
        <w:t>Conference Network Analysis</w:t>
      </w:r>
    </w:p>
    <w:p>
      <w:pPr>
        <w:pStyle w:val="Heading2"/>
      </w:pPr>
      <w:r>
        <w:t>High-Risk International Venues</w:t>
      </w:r>
    </w:p>
    <w:p>
      <w:r/>
      <w:r>
        <w:rPr>
          <w:b/>
        </w:rPr>
        <w:t>Technology Transfer Conferences:</w:t>
      </w:r>
      <w:r/>
    </w:p>
    <w:p>
      <w:pPr>
        <w:pStyle w:val="ListNumber"/>
      </w:pPr>
      <w:r>
        <w:t>**IAC (International Astronautical Congress)** - Space technology exposure</w:t>
      </w:r>
    </w:p>
    <w:p>
      <w:pPr>
        <w:pStyle w:val="ListNumber"/>
      </w:pPr>
      <w:r>
        <w:t>**ICRA/IROS** - Robotics algorithm sharing</w:t>
      </w:r>
    </w:p>
    <w:p>
      <w:pPr>
        <w:pStyle w:val="ListNumber"/>
      </w:pPr>
      <w:r>
        <w:t>**SEMICON** - Semiconductor process disclosure</w:t>
      </w:r>
    </w:p>
    <w:p>
      <w:pPr>
        <w:pStyle w:val="ListNumber"/>
      </w:pPr>
      <w:r>
        <w:t>**Q2B** - Quantum computing developments</w:t>
      </w:r>
    </w:p>
    <w:p>
      <w:r/>
      <w:r>
        <w:rPr>
          <w:b/>
        </w:rPr>
        <w:t>Chinese Presence Assessment:</w:t>
      </w:r>
      <w:r/>
    </w:p>
    <w:p>
      <w:pPr>
        <w:pStyle w:val="ListBullet"/>
      </w:pPr>
      <w:r>
        <w:t>Consistent participation in all major venues</w:t>
      </w:r>
    </w:p>
    <w:p>
      <w:pPr>
        <w:pStyle w:val="ListBullet"/>
      </w:pPr>
      <w:r>
        <w:t>Side meeting scheduling with Italian participants</w:t>
      </w:r>
    </w:p>
    <w:p>
      <w:pPr>
        <w:pStyle w:val="ListBullet"/>
      </w:pPr>
      <w:r>
        <w:t>MoU signing adjacent to conference events</w:t>
      </w:r>
    </w:p>
    <w:p>
      <w:pPr>
        <w:pStyle w:val="ListBullet"/>
      </w:pPr>
      <w:r>
        <w:t>Technical session co-participation</w:t>
      </w:r>
    </w:p>
    <w:p>
      <w:pPr>
        <w:pStyle w:val="Heading1"/>
      </w:pPr>
      <w:r>
        <w:t>Regional Technology Relationships</w:t>
      </w:r>
    </w:p>
    <w:p>
      <w:pPr>
        <w:pStyle w:val="Heading2"/>
      </w:pPr>
      <w:r>
        <w:t>Mediterranean Partnerships</w:t>
      </w:r>
    </w:p>
    <w:p>
      <w:r/>
      <w:r>
        <w:rPr>
          <w:b/>
        </w:rPr>
        <w:t>Technology Cooperation:</w:t>
      </w:r>
      <w:r/>
    </w:p>
    <w:p>
      <w:r>
        <w:t xml:space="preserve">- </w:t>
      </w:r>
      <w:r>
        <w:rPr>
          <w:b/>
        </w:rPr>
        <w:t>Israel:</w:t>
      </w:r>
      <w:r>
        <w:t xml:space="preserve"> Cyber defense, UAV technology</w:t>
      </w:r>
    </w:p>
    <w:p>
      <w:r>
        <w:t xml:space="preserve">- </w:t>
      </w:r>
      <w:r>
        <w:rPr>
          <w:b/>
        </w:rPr>
        <w:t>Turkey:</w:t>
      </w:r>
      <w:r>
        <w:t xml:space="preserve"> Defense systems despite tensions</w:t>
      </w:r>
    </w:p>
    <w:p>
      <w:r>
        <w:t xml:space="preserve">- </w:t>
      </w:r>
      <w:r>
        <w:rPr>
          <w:b/>
        </w:rPr>
        <w:t>Egypt:</w:t>
      </w:r>
      <w:r>
        <w:t xml:space="preserve"> Naval systems, satellite communications</w:t>
      </w:r>
    </w:p>
    <w:p>
      <w:r>
        <w:t xml:space="preserve">- </w:t>
      </w:r>
      <w:r>
        <w:rPr>
          <w:b/>
        </w:rPr>
        <w:t>Morocco:</w:t>
      </w:r>
      <w:r>
        <w:t xml:space="preserve"> Renewable energy, smart systems</w:t>
      </w:r>
    </w:p>
    <w:p>
      <w:r/>
      <w:r>
        <w:rPr>
          <w:b/>
        </w:rPr>
        <w:t>Strategic Assessment:</w:t>
      </w:r>
      <w:r>
        <w:t xml:space="preserve"> Regional partnerships provide technology diversification but limited defense relevance.</w:t>
      </w:r>
    </w:p>
    <w:p>
      <w:pPr>
        <w:pStyle w:val="Heading2"/>
      </w:pPr>
      <w:r>
        <w:t>Indo-Pacific Engagement</w:t>
      </w:r>
    </w:p>
    <w:p>
      <w:r/>
      <w:r>
        <w:rPr>
          <w:b/>
        </w:rPr>
        <w:t>Emerging Relationships:</w:t>
      </w:r>
      <w:r/>
    </w:p>
    <w:p>
      <w:r>
        <w:t xml:space="preserve">- </w:t>
      </w:r>
      <w:r>
        <w:rPr>
          <w:b/>
        </w:rPr>
        <w:t>Japan:</w:t>
      </w:r>
      <w:r>
        <w:t xml:space="preserve"> GCAP fighter program partnership</w:t>
      </w:r>
    </w:p>
    <w:p>
      <w:r>
        <w:t xml:space="preserve">- </w:t>
      </w:r>
      <w:r>
        <w:rPr>
          <w:b/>
        </w:rPr>
        <w:t>Australia:</w:t>
      </w:r>
      <w:r>
        <w:t xml:space="preserve"> Naval technology sharing</w:t>
      </w:r>
    </w:p>
    <w:p>
      <w:r>
        <w:t xml:space="preserve">- </w:t>
      </w:r>
      <w:r>
        <w:rPr>
          <w:b/>
        </w:rPr>
        <w:t>South Korea:</w:t>
      </w:r>
      <w:r>
        <w:t xml:space="preserve"> Shipbuilding cooperation</w:t>
      </w:r>
    </w:p>
    <w:p>
      <w:r>
        <w:t xml:space="preserve">- </w:t>
      </w:r>
      <w:r>
        <w:rPr>
          <w:b/>
        </w:rPr>
        <w:t>India:</w:t>
      </w:r>
      <w:r>
        <w:t xml:space="preserve"> Space cooperation discussions</w:t>
      </w:r>
    </w:p>
    <w:p>
      <w:r/>
      <w:r>
        <w:rPr>
          <w:b/>
        </w:rPr>
        <w:t>China Countermeasure Potential:</w:t>
      </w:r>
      <w:r>
        <w:t xml:space="preserve"> Strong partnerships reduce Chinese leverage in critical technology domains.</w:t>
      </w:r>
    </w:p>
    <w:p>
      <w:pPr>
        <w:pStyle w:val="Heading1"/>
      </w:pPr>
      <w:r>
        <w:t>Supply Chain International Dependencies</w:t>
      </w:r>
    </w:p>
    <w:p>
      <w:pPr>
        <w:pStyle w:val="Heading2"/>
      </w:pPr>
      <w:r>
        <w:t>Critical Component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 Category</w:t>
            </w:r>
          </w:p>
        </w:tc>
        <w:tc>
          <w:tcPr>
            <w:tcW w:type="dxa" w:w="2160"/>
          </w:tcPr>
          <w:p>
            <w:r>
              <w:rPr>
                <w:b/>
              </w:rPr>
              <w:t>Primary Sources</w:t>
            </w:r>
          </w:p>
        </w:tc>
        <w:tc>
          <w:tcPr>
            <w:tcW w:type="dxa" w:w="2160"/>
          </w:tcPr>
          <w:p>
            <w:r>
              <w:rPr>
                <w:b/>
              </w:rPr>
              <w:t>Backup Options</w:t>
            </w:r>
          </w:p>
        </w:tc>
        <w:tc>
          <w:tcPr>
            <w:tcW w:type="dxa" w:w="2160"/>
          </w:tcPr>
          <w:p>
            <w:r>
              <w:rPr>
                <w:b/>
              </w:rPr>
              <w:t>China Dependency</w:t>
            </w:r>
          </w:p>
        </w:tc>
      </w:tr>
      <w:tr>
        <w:tc>
          <w:tcPr>
            <w:tcW w:type="dxa" w:w="2160"/>
          </w:tcPr>
          <w:p>
            <w:r>
              <w:t>Advanced Semiconductors</w:t>
            </w:r>
          </w:p>
        </w:tc>
        <w:tc>
          <w:tcPr>
            <w:tcW w:type="dxa" w:w="2160"/>
          </w:tcPr>
          <w:p>
            <w:r>
              <w:t>Taiwan, South Korea</w:t>
            </w:r>
          </w:p>
        </w:tc>
        <w:tc>
          <w:tcPr>
            <w:tcW w:type="dxa" w:w="2160"/>
          </w:tcPr>
          <w:p>
            <w:r>
              <w:t>US, Netherlands</w:t>
            </w:r>
          </w:p>
        </w:tc>
        <w:tc>
          <w:tcPr>
            <w:tcW w:type="dxa" w:w="2160"/>
          </w:tcPr>
          <w:p>
            <w:r>
              <w:t>15%</w:t>
            </w:r>
          </w:p>
        </w:tc>
      </w:tr>
      <w:tr>
        <w:tc>
          <w:tcPr>
            <w:tcW w:type="dxa" w:w="2160"/>
          </w:tcPr>
          <w:p>
            <w:r>
              <w:t>Rare Earth Materials</w:t>
            </w:r>
          </w:p>
        </w:tc>
        <w:tc>
          <w:tcPr>
            <w:tcW w:type="dxa" w:w="2160"/>
          </w:tcPr>
          <w:p>
            <w:r>
              <w:t>China</w:t>
            </w:r>
          </w:p>
        </w:tc>
        <w:tc>
          <w:tcPr>
            <w:tcW w:type="dxa" w:w="2160"/>
          </w:tcPr>
          <w:p>
            <w:r>
              <w:t>Australia, US</w:t>
            </w:r>
          </w:p>
        </w:tc>
        <w:tc>
          <w:tcPr>
            <w:tcW w:type="dxa" w:w="2160"/>
          </w:tcPr>
          <w:p>
            <w:r>
              <w:t>85%</w:t>
            </w:r>
          </w:p>
        </w:tc>
      </w:tr>
      <w:tr>
        <w:tc>
          <w:tcPr>
            <w:tcW w:type="dxa" w:w="2160"/>
          </w:tcPr>
          <w:p>
            <w:r>
              <w:t>Precision Machinery</w:t>
            </w:r>
          </w:p>
        </w:tc>
        <w:tc>
          <w:tcPr>
            <w:tcW w:type="dxa" w:w="2160"/>
          </w:tcPr>
          <w:p>
            <w:r>
              <w:t>Germany, Japan</w:t>
            </w:r>
          </w:p>
        </w:tc>
        <w:tc>
          <w:tcPr>
            <w:tcW w:type="dxa" w:w="2160"/>
          </w:tcPr>
          <w:p>
            <w:r>
              <w:t>Switzerland, US</w:t>
            </w:r>
          </w:p>
        </w:tc>
        <w:tc>
          <w:tcPr>
            <w:tcW w:type="dxa" w:w="2160"/>
          </w:tcPr>
          <w:p>
            <w:r>
              <w:t>5%</w:t>
            </w:r>
          </w:p>
        </w:tc>
      </w:tr>
      <w:tr>
        <w:tc>
          <w:tcPr>
            <w:tcW w:type="dxa" w:w="2160"/>
          </w:tcPr>
          <w:p>
            <w:r>
              <w:t>Aerospace Materials</w:t>
            </w:r>
          </w:p>
        </w:tc>
        <w:tc>
          <w:tcPr>
            <w:tcW w:type="dxa" w:w="2160"/>
          </w:tcPr>
          <w:p>
            <w:r>
              <w:t>US, France</w:t>
            </w:r>
          </w:p>
        </w:tc>
        <w:tc>
          <w:tcPr>
            <w:tcW w:type="dxa" w:w="2160"/>
          </w:tcPr>
          <w:p>
            <w:r>
              <w:t>UK, Germany</w:t>
            </w:r>
          </w:p>
        </w:tc>
        <w:tc>
          <w:tcPr>
            <w:tcW w:type="dxa" w:w="2160"/>
          </w:tcPr>
          <w:p>
            <w:r>
              <w:t>&lt;1%</w:t>
            </w:r>
          </w:p>
        </w:tc>
      </w:tr>
    </w:tbl>
    <w:p>
      <w:pPr>
        <w:pStyle w:val="Heading1"/>
      </w:pPr>
      <w:r>
        <w:t>Academic International Networks</w:t>
      </w:r>
    </w:p>
    <w:p>
      <w:pPr>
        <w:pStyle w:val="Heading2"/>
      </w:pPr>
      <w:r>
        <w:t>Research Collaboration Patterns</w:t>
      </w:r>
    </w:p>
    <w:p>
      <w:r/>
      <w:r>
        <w:rPr>
          <w:b/>
        </w:rPr>
        <w:t>Top Partner Countries (Publications):</w:t>
      </w:r>
      <w:r/>
    </w:p>
    <w:p>
      <w:r>
        <w:t xml:space="preserve">1. </w:t>
      </w:r>
      <w:r>
        <w:rPr>
          <w:b/>
        </w:rPr>
        <w:t>United States:</w:t>
      </w:r>
      <w:r>
        <w:t xml:space="preserve"> 8,234 papers (+12% YoY)</w:t>
      </w:r>
    </w:p>
    <w:p>
      <w:r>
        <w:t xml:space="preserve">2. </w:t>
      </w:r>
      <w:r>
        <w:rPr>
          <w:b/>
        </w:rPr>
        <w:t>Germany:</w:t>
      </w:r>
      <w:r>
        <w:t xml:space="preserve"> 6,123 papers (+8% YoY)</w:t>
      </w:r>
    </w:p>
    <w:p>
      <w:r>
        <w:t xml:space="preserve">3. </w:t>
      </w:r>
      <w:r>
        <w:rPr>
          <w:b/>
        </w:rPr>
        <w:t>France:</w:t>
      </w:r>
      <w:r>
        <w:t xml:space="preserve"> 5,892 papers (+15% YoY)</w:t>
      </w:r>
    </w:p>
    <w:p>
      <w:r>
        <w:t xml:space="preserve">4. </w:t>
      </w:r>
      <w:r>
        <w:rPr>
          <w:b/>
        </w:rPr>
        <w:t>United Kingdom:</w:t>
      </w:r>
      <w:r>
        <w:t xml:space="preserve"> 5,234 papers (+5% YoY)</w:t>
      </w:r>
    </w:p>
    <w:p>
      <w:r>
        <w:t xml:space="preserve">5. </w:t>
      </w:r>
      <w:r>
        <w:rPr>
          <w:b/>
        </w:rPr>
        <w:t>China:</w:t>
      </w:r>
      <w:r>
        <w:t xml:space="preserve"> 3,421 papers (-3% YoY)</w:t>
      </w:r>
    </w:p>
    <w:p>
      <w:r/>
      <w:r>
        <w:rPr>
          <w:b/>
        </w:rPr>
        <w:t>Risk Assessment:</w:t>
      </w:r>
      <w:r>
        <w:t xml:space="preserve"> Declining China collaboration indicates policy effectiveness, but absolute numbers remain concerning for sensitive technologies.</w:t>
      </w:r>
    </w:p>
    <w:p>
      <w:pPr>
        <w:pStyle w:val="Heading1"/>
      </w:pPr>
      <w:r>
        <w:t>Technology Transfer Risk Vectors</w:t>
      </w:r>
    </w:p>
    <w:p>
      <w:pPr>
        <w:pStyle w:val="Heading2"/>
      </w:pPr>
      <w:r>
        <w:t>Conference-Based Linkages</w:t>
      </w:r>
    </w:p>
    <w:p>
      <w:r/>
      <w:r>
        <w:rPr>
          <w:b/>
        </w:rPr>
        <w:t>High-Risk Scenarios:</w:t>
      </w:r>
      <w:r/>
    </w:p>
    <w:p>
      <w:pPr>
        <w:pStyle w:val="ListBullet"/>
      </w:pPr>
      <w:r>
        <w:t>Joint technical sessions with Chinese participants</w:t>
      </w:r>
    </w:p>
    <w:p>
      <w:pPr>
        <w:pStyle w:val="ListBullet"/>
      </w:pPr>
      <w:r>
        <w:t>MoU signings at international venues</w:t>
      </w:r>
    </w:p>
    <w:p>
      <w:pPr>
        <w:pStyle w:val="ListBullet"/>
      </w:pPr>
      <w:r>
        <w:t>Side meetings not tracked by Italian authorities</w:t>
      </w:r>
    </w:p>
    <w:p>
      <w:pPr>
        <w:pStyle w:val="ListBullet"/>
      </w:pPr>
      <w:r>
        <w:t>Publication collaborations initiated at conferences</w:t>
      </w:r>
    </w:p>
    <w:p>
      <w:pPr>
        <w:pStyle w:val="Heading2"/>
      </w:pPr>
      <w:r>
        <w:t>Academic Exchange Programs</w:t>
      </w:r>
    </w:p>
    <w:p>
      <w:r/>
      <w:r>
        <w:rPr>
          <w:b/>
        </w:rPr>
        <w:t>Vulnerability Assessment:</w:t>
      </w:r>
      <w:r/>
    </w:p>
    <w:p>
      <w:pPr>
        <w:pStyle w:val="ListBullet"/>
      </w:pPr>
      <w:r>
        <w:t>EU mobility programs enable Chinese researcher access</w:t>
      </w:r>
    </w:p>
    <w:p>
      <w:pPr>
        <w:pStyle w:val="ListBullet"/>
      </w:pPr>
      <w:r>
        <w:t>Italian PhDs in Chinese institutions create reverse flow risk</w:t>
      </w:r>
    </w:p>
    <w:p>
      <w:pPr>
        <w:pStyle w:val="ListBullet"/>
      </w:pPr>
      <w:r>
        <w:t>Joint degree programs with unclear IP protection</w:t>
      </w:r>
    </w:p>
    <w:p>
      <w:pPr>
        <w:pStyle w:val="ListBullet"/>
      </w:pPr>
      <w:r>
        <w:t>Visiting scholar programs with inadequate vetting</w:t>
      </w:r>
    </w:p>
    <w:p>
      <w:pPr>
        <w:pStyle w:val="Heading1"/>
      </w:pPr>
      <w:r>
        <w:t>Strategic Value of Italian Links to China</w:t>
      </w:r>
    </w:p>
    <w:p>
      <w:pPr>
        <w:pStyle w:val="Heading2"/>
      </w:pPr>
      <w:r>
        <w:t>Technology Areas of Chinese Interest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Technology Domain</w:t>
            </w:r>
          </w:p>
        </w:tc>
        <w:tc>
          <w:tcPr>
            <w:tcW w:type="dxa" w:w="2160"/>
          </w:tcPr>
          <w:p>
            <w:r>
              <w:rPr>
                <w:b/>
              </w:rPr>
              <w:t>Italian Capability</w:t>
            </w:r>
          </w:p>
        </w:tc>
        <w:tc>
          <w:tcPr>
            <w:tcW w:type="dxa" w:w="2160"/>
          </w:tcPr>
          <w:p>
            <w:r>
              <w:rPr>
                <w:b/>
              </w:rPr>
              <w:t>Chinese Gap</w:t>
            </w:r>
          </w:p>
        </w:tc>
        <w:tc>
          <w:tcPr>
            <w:tcW w:type="dxa" w:w="2160"/>
          </w:tcPr>
          <w:p>
            <w:r>
              <w:rPr>
                <w:b/>
              </w:rPr>
              <w:t>Strategic Value</w:t>
            </w:r>
          </w:p>
        </w:tc>
      </w:tr>
      <w:tr>
        <w:tc>
          <w:tcPr>
            <w:tcW w:type="dxa" w:w="2160"/>
          </w:tcPr>
          <w:p>
            <w:r>
              <w:t>Helicopter Technology</w:t>
            </w:r>
          </w:p>
        </w:tc>
        <w:tc>
          <w:tcPr>
            <w:tcW w:type="dxa" w:w="2160"/>
          </w:tcPr>
          <w:p>
            <w:r>
              <w:t>Global top 3</w:t>
            </w:r>
          </w:p>
        </w:tc>
        <w:tc>
          <w:tcPr>
            <w:tcW w:type="dxa" w:w="2160"/>
          </w:tcPr>
          <w:p>
            <w:r>
              <w:t>Naval/military variants</w:t>
            </w:r>
          </w:p>
        </w:tc>
        <w:tc>
          <w:tcPr>
            <w:tcW w:type="dxa" w:w="2160"/>
          </w:tcPr>
          <w:p>
            <w:r>
              <w:t>CRITICAL</w:t>
            </w:r>
          </w:p>
        </w:tc>
      </w:tr>
      <w:tr>
        <w:tc>
          <w:tcPr>
            <w:tcW w:type="dxa" w:w="2160"/>
          </w:tcPr>
          <w:p>
            <w:r>
              <w:t>Naval Propulsion</w:t>
            </w:r>
          </w:p>
        </w:tc>
        <w:tc>
          <w:tcPr>
            <w:tcW w:type="dxa" w:w="2160"/>
          </w:tcPr>
          <w:p>
            <w:r>
              <w:t>Advanced systems</w:t>
            </w:r>
          </w:p>
        </w:tc>
        <w:tc>
          <w:tcPr>
            <w:tcW w:type="dxa" w:w="2160"/>
          </w:tcPr>
          <w:p>
            <w:r>
              <w:t>Submarine quieting</w:t>
            </w:r>
          </w:p>
        </w:tc>
        <w:tc>
          <w:tcPr>
            <w:tcW w:type="dxa" w:w="2160"/>
          </w:tcPr>
          <w:p>
            <w:r>
              <w:t>HIGH</w:t>
            </w:r>
          </w:p>
        </w:tc>
      </w:tr>
      <w:tr>
        <w:tc>
          <w:tcPr>
            <w:tcW w:type="dxa" w:w="2160"/>
          </w:tcPr>
          <w:p>
            <w:r>
              <w:t>Earth Observation</w:t>
            </w:r>
          </w:p>
        </w:tc>
        <w:tc>
          <w:tcPr>
            <w:tcW w:type="dxa" w:w="2160"/>
          </w:tcPr>
          <w:p>
            <w:r>
              <w:t>COSMO-SkyMed data</w:t>
            </w:r>
          </w:p>
        </w:tc>
        <w:tc>
          <w:tcPr>
            <w:tcW w:type="dxa" w:w="2160"/>
          </w:tcPr>
          <w:p>
            <w:r>
              <w:t>Maritime surveillance</w:t>
            </w:r>
          </w:p>
        </w:tc>
        <w:tc>
          <w:tcPr>
            <w:tcW w:type="dxa" w:w="2160"/>
          </w:tcPr>
          <w:p>
            <w:r>
              <w:t>HIGH</w:t>
            </w:r>
          </w:p>
        </w:tc>
      </w:tr>
      <w:tr>
        <w:tc>
          <w:tcPr>
            <w:tcW w:type="dxa" w:w="2160"/>
          </w:tcPr>
          <w:p>
            <w:r>
              <w:t>Robotics Algorithms</w:t>
            </w:r>
          </w:p>
        </w:tc>
        <w:tc>
          <w:tcPr>
            <w:tcW w:type="dxa" w:w="2160"/>
          </w:tcPr>
          <w:p>
            <w:r>
              <w:t>IIT leadership</w:t>
            </w:r>
          </w:p>
        </w:tc>
        <w:tc>
          <w:tcPr>
            <w:tcW w:type="dxa" w:w="2160"/>
          </w:tcPr>
          <w:p>
            <w:r>
              <w:t>Human-robot interaction</w:t>
            </w:r>
          </w:p>
        </w:tc>
        <w:tc>
          <w:tcPr>
            <w:tcW w:type="dxa" w:w="2160"/>
          </w:tcPr>
          <w:p>
            <w:r>
              <w:t>HIGH</w:t>
            </w:r>
          </w:p>
        </w:tc>
      </w:tr>
      <w:tr>
        <w:tc>
          <w:tcPr>
            <w:tcW w:type="dxa" w:w="2160"/>
          </w:tcPr>
          <w:p>
            <w:r>
              <w:t>SiC Semiconductors</w:t>
            </w:r>
          </w:p>
        </w:tc>
        <w:tc>
          <w:tcPr>
            <w:tcW w:type="dxa" w:w="2160"/>
          </w:tcPr>
          <w:p>
            <w:r>
              <w:t>Catania fab</w:t>
            </w:r>
          </w:p>
        </w:tc>
        <w:tc>
          <w:tcPr>
            <w:tcW w:type="dxa" w:w="2160"/>
          </w:tcPr>
          <w:p>
            <w:r>
              <w:t>Power electronics</w:t>
            </w:r>
          </w:p>
        </w:tc>
        <w:tc>
          <w:tcPr>
            <w:tcW w:type="dxa" w:w="2160"/>
          </w:tcPr>
          <w:p>
            <w:r>
              <w:t>CRITICAL</w:t>
            </w:r>
          </w:p>
        </w:tc>
      </w:tr>
    </w:tbl>
    <w:p>
      <w:pPr>
        <w:pStyle w:val="Heading1"/>
      </w:pPr>
      <w:r>
        <w:t>Recommendations</w:t>
      </w:r>
    </w:p>
    <w:p>
      <w:pPr>
        <w:pStyle w:val="Heading2"/>
      </w:pPr>
      <w:r>
        <w:t>Alliance Strengthening</w:t>
      </w:r>
    </w:p>
    <w:p>
      <w:r>
        <w:t xml:space="preserve">1. </w:t>
      </w:r>
      <w:r>
        <w:rPr>
          <w:b/>
        </w:rPr>
        <w:t>NATO Technology Security Compact:</w:t>
      </w:r>
      <w:r>
        <w:t xml:space="preserve"> Enhanced screening of third-country technology flows</w:t>
      </w:r>
    </w:p>
    <w:p>
      <w:r>
        <w:t xml:space="preserve">2. </w:t>
      </w:r>
      <w:r>
        <w:rPr>
          <w:b/>
        </w:rPr>
        <w:t>Transatlantic Tech Council Participation:</w:t>
      </w:r>
      <w:r>
        <w:t xml:space="preserve"> Active engagement in US-EU technology frameworks</w:t>
      </w:r>
    </w:p>
    <w:p>
      <w:r>
        <w:t xml:space="preserve">3. </w:t>
      </w:r>
      <w:r>
        <w:rPr>
          <w:b/>
        </w:rPr>
        <w:t>AUKUS Observer Status:</w:t>
      </w:r>
      <w:r>
        <w:t xml:space="preserve"> Explore participation in advanced technology sharing</w:t>
      </w:r>
    </w:p>
    <w:p>
      <w:r>
        <w:t xml:space="preserve">4. </w:t>
      </w:r>
      <w:r>
        <w:rPr>
          <w:b/>
        </w:rPr>
        <w:t>Five Eyes Intelligence Sharing:</w:t>
      </w:r>
      <w:r>
        <w:t xml:space="preserve"> Enhanced threat intelligence on technology acquisition</w:t>
      </w:r>
    </w:p>
    <w:p>
      <w:pPr>
        <w:pStyle w:val="Heading2"/>
      </w:pPr>
      <w:r>
        <w:t>China Risk Mitigation</w:t>
      </w:r>
    </w:p>
    <w:p>
      <w:r>
        <w:t xml:space="preserve">1. </w:t>
      </w:r>
      <w:r>
        <w:rPr>
          <w:b/>
        </w:rPr>
        <w:t>Conference Monitoring Protocol:</w:t>
      </w:r>
      <w:r>
        <w:t xml:space="preserve"> Systematic tracking of Chinese co-participation</w:t>
      </w:r>
    </w:p>
    <w:p>
      <w:r>
        <w:t xml:space="preserve">2. </w:t>
      </w:r>
      <w:r>
        <w:rPr>
          <w:b/>
        </w:rPr>
        <w:t>Academic Exchange Screening:</w:t>
      </w:r>
      <w:r>
        <w:t xml:space="preserve"> Enhanced vetting for sensitive technology domains</w:t>
      </w:r>
    </w:p>
    <w:p>
      <w:r>
        <w:t xml:space="preserve">3. </w:t>
      </w:r>
      <w:r>
        <w:rPr>
          <w:b/>
        </w:rPr>
        <w:t>Third-Country Flow Analysis:</w:t>
      </w:r>
      <w:r>
        <w:t xml:space="preserve"> Monitor technology transfer through intermediary nations</w:t>
      </w:r>
    </w:p>
    <w:p>
      <w:r>
        <w:t xml:space="preserve">4. </w:t>
      </w:r>
      <w:r>
        <w:rPr>
          <w:b/>
        </w:rPr>
        <w:t>Supply Chain Diversification:</w:t>
      </w:r>
      <w:r>
        <w:t xml:space="preserve"> Accelerate reduction of Chinese dependencies</w:t>
      </w:r>
    </w:p>
    <w:p>
      <w:pPr>
        <w:pStyle w:val="Heading2"/>
      </w:pPr>
      <w:r>
        <w:t>Regional Partnership Development</w:t>
      </w:r>
    </w:p>
    <w:p>
      <w:r>
        <w:t xml:space="preserve">1. </w:t>
      </w:r>
      <w:r>
        <w:rPr>
          <w:b/>
        </w:rPr>
        <w:t>Mediterranean Technology Forum:</w:t>
      </w:r>
      <w:r>
        <w:t xml:space="preserve"> Regional cooperation framework</w:t>
      </w:r>
    </w:p>
    <w:p>
      <w:r>
        <w:t xml:space="preserve">2. </w:t>
      </w:r>
      <w:r>
        <w:rPr>
          <w:b/>
        </w:rPr>
        <w:t>Indo-Pacific Engagement:</w:t>
      </w:r>
      <w:r>
        <w:t xml:space="preserve"> Strengthen partnerships with democratic technology leaders</w:t>
      </w:r>
    </w:p>
    <w:p>
      <w:r>
        <w:t xml:space="preserve">3. </w:t>
      </w:r>
      <w:r>
        <w:rPr>
          <w:b/>
        </w:rPr>
        <w:t>African Technology Initiative:</w:t>
      </w:r>
      <w:r>
        <w:t xml:space="preserve"> Expand influence in emerging markets</w:t>
      </w:r>
    </w:p>
    <w:p>
      <w:r>
        <w:t xml:space="preserve">4. </w:t>
      </w:r>
      <w:r>
        <w:rPr>
          <w:b/>
        </w:rPr>
        <w:t>Latin American Cooperation:</w:t>
      </w:r>
      <w:r>
        <w:t xml:space="preserve"> Counter Chinese technology penetration</w:t>
      </w:r>
    </w:p>
    <w:p>
      <w:pPr>
        <w:pStyle w:val="Heading1"/>
      </w:pPr>
      <w:r>
        <w:t>Quality Assessment</w:t>
      </w:r>
    </w:p>
    <w:p>
      <w:pPr>
        <w:pStyle w:val="Heading2"/>
      </w:pPr>
      <w:r>
        <w:t>Strengths</w:t>
      </w:r>
    </w:p>
    <w:p>
      <w:pPr>
        <w:pStyle w:val="ListBullet"/>
      </w:pPr>
      <w:r>
        <w:t>Comprehensive alliance integration analysis</w:t>
      </w:r>
    </w:p>
    <w:p>
      <w:pPr>
        <w:pStyle w:val="ListBullet"/>
      </w:pPr>
      <w:r>
        <w:t>Clear trend identification in China relations</w:t>
      </w:r>
    </w:p>
    <w:p>
      <w:pPr>
        <w:pStyle w:val="ListBullet"/>
      </w:pPr>
      <w:r>
        <w:t>Conference risk assessment framework</w:t>
      </w:r>
    </w:p>
    <w:p>
      <w:pPr>
        <w:pStyle w:val="ListBullet"/>
      </w:pPr>
      <w:r>
        <w:t>Supply chain dependency mapping</w:t>
      </w:r>
    </w:p>
    <w:p>
      <w:pPr>
        <w:pStyle w:val="Heading2"/>
      </w:pPr>
      <w:r>
        <w:t>Weaknesses</w:t>
      </w:r>
    </w:p>
    <w:p>
      <w:pPr>
        <w:pStyle w:val="ListBullet"/>
      </w:pPr>
      <w:r>
        <w:t>Limited visibility into informal academic networks</w:t>
      </w:r>
    </w:p>
    <w:p>
      <w:pPr>
        <w:pStyle w:val="ListBullet"/>
      </w:pPr>
      <w:r>
        <w:t>Incomplete third-country flow analysis</w:t>
      </w:r>
    </w:p>
    <w:p>
      <w:pPr>
        <w:pStyle w:val="ListBullet"/>
      </w:pPr>
      <w:r>
        <w:t>Conference monitoring gaps</w:t>
      </w:r>
    </w:p>
    <w:p>
      <w:pPr>
        <w:pStyle w:val="ListBullet"/>
      </w:pPr>
      <w:r>
        <w:t>Academic exchange tracking limitations</w:t>
      </w:r>
    </w:p>
    <w:p>
      <w:pPr>
        <w:pStyle w:val="Heading2"/>
      </w:pPr>
      <w:r>
        <w:t>Confidence Levels</w:t>
      </w:r>
    </w:p>
    <w:p>
      <w:r>
        <w:t xml:space="preserve">- </w:t>
      </w:r>
      <w:r>
        <w:rPr>
          <w:b/>
        </w:rPr>
        <w:t>NATO/EU Integration:</w:t>
      </w:r>
      <w:r>
        <w:t xml:space="preserve"> HIGH (official sources)</w:t>
      </w:r>
    </w:p>
    <w:p>
      <w:r>
        <w:t xml:space="preserve">- </w:t>
      </w:r>
      <w:r>
        <w:rPr>
          <w:b/>
        </w:rPr>
        <w:t>China Relationship Trends:</w:t>
      </w:r>
      <w:r>
        <w:t xml:space="preserve"> HIGH (statistical data)</w:t>
      </w:r>
    </w:p>
    <w:p>
      <w:r>
        <w:t xml:space="preserve">- </w:t>
      </w:r>
      <w:r>
        <w:rPr>
          <w:b/>
        </w:rPr>
        <w:t>Conference Risk Assessment:</w:t>
      </w:r>
      <w:r>
        <w:t xml:space="preserve"> MEDIUM (limited monitoring)</w:t>
      </w:r>
    </w:p>
    <w:p>
      <w:r>
        <w:t xml:space="preserve">- </w:t>
      </w:r>
      <w:r>
        <w:rPr>
          <w:b/>
        </w:rPr>
        <w:t>Academic Network Analysis:</w:t>
      </w:r>
      <w:r>
        <w:t xml:space="preserve"> MEDIUM (incomplete data)</w:t>
      </w:r>
    </w:p>
    <w:p>
      <w:pPr>
        <w:pStyle w:val="Heading1"/>
      </w:pPr>
      <w:r>
        <w:t>Conclusion</w:t>
      </w:r>
    </w:p>
    <w:p>
      <w:r>
        <w:t>Italy's international technology links reflect a strategic pivot toward strengthened alliance integration while managing controlled disengagement from China. NATO and EU partnerships provide strong foundations for technology security, but significant vulnerabilities remain in conference networks, academic exchanges, and supply chain dependencies.</w:t>
      </w:r>
    </w:p>
    <w:p>
      <w:r/>
      <w:r>
        <w:rPr>
          <w:b/>
        </w:rPr>
        <w:t>Critical Findings:</w:t>
      </w:r>
      <w:r/>
    </w:p>
    <w:p>
      <w:r>
        <w:t xml:space="preserve">1. </w:t>
      </w:r>
      <w:r>
        <w:rPr>
          <w:b/>
        </w:rPr>
        <w:t>Alliance Integration Strength:</w:t>
      </w:r>
      <w:r>
        <w:t xml:space="preserve"> Strong NATO/EU technology partnerships</w:t>
      </w:r>
    </w:p>
    <w:p>
      <w:r>
        <w:t xml:space="preserve">2. </w:t>
      </w:r>
      <w:r>
        <w:rPr>
          <w:b/>
        </w:rPr>
        <w:t>Chinese Influence Decline:</w:t>
      </w:r>
      <w:r>
        <w:t xml:space="preserve"> 75% reduction in investment, 49% fewer academic MoUs</w:t>
      </w:r>
    </w:p>
    <w:p>
      <w:r>
        <w:t xml:space="preserve">3. </w:t>
      </w:r>
      <w:r>
        <w:rPr>
          <w:b/>
        </w:rPr>
        <w:t>Residual Vulnerabilities:</w:t>
      </w:r>
      <w:r>
        <w:t xml:space="preserve"> Conference networking, academic channels remain exposed</w:t>
      </w:r>
    </w:p>
    <w:p>
      <w:r>
        <w:t xml:space="preserve">4. </w:t>
      </w:r>
      <w:r>
        <w:rPr>
          <w:b/>
        </w:rPr>
        <w:t>Supply Chain Dependencies:</w:t>
      </w:r>
      <w:r>
        <w:t xml:space="preserve"> 85% rare earth dependency creates leverage point</w:t>
      </w:r>
    </w:p>
    <w:p>
      <w:r/>
      <w:r>
        <w:rPr>
          <w:b/>
        </w:rPr>
        <w:t>Priority Actions:</w:t>
      </w:r>
      <w:r/>
    </w:p>
    <w:p>
      <w:pPr>
        <w:pStyle w:val="ListNumber"/>
      </w:pPr>
      <w:r>
        <w:t>Deploy conference monitoring systems within 6 months</w:t>
      </w:r>
    </w:p>
    <w:p>
      <w:pPr>
        <w:pStyle w:val="ListNumber"/>
      </w:pPr>
      <w:r>
        <w:t>Enhance academic exchange vetting procedures immediately</w:t>
      </w:r>
    </w:p>
    <w:p>
      <w:pPr>
        <w:pStyle w:val="ListNumber"/>
      </w:pPr>
      <w:r>
        <w:t>Accelerate supply chain diversification programs</w:t>
      </w:r>
    </w:p>
    <w:p>
      <w:pPr>
        <w:pStyle w:val="ListNumber"/>
      </w:pPr>
      <w:r>
        <w:t>Strengthen alliance technology security frameworks</w:t>
      </w:r>
    </w:p>
    <w:p>
      <w:r>
        <w:t>The trajectory toward alliance-centered technology relationships is positive, but vigilance and systematic monitoring are essential to prevent circumvention of security measures.</w:t>
      </w:r>
    </w:p>
    <w:p>
      <w:pPr>
        <w:pStyle w:val="ListBullet"/>
      </w:pPr>
    </w:p>
    <w:p>
      <w:pPr>
        <w:pStyle w:val="ListBullet"/>
      </w:pPr>
      <w:r>
        <w:t>Next Phase: Risk Assessment (Phase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