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9: Governance &amp; Posture Analysis - Italy Technology Security Assessment</w:t>
      </w:r>
    </w:p>
    <w:p>
      <w:r/>
      <w:r>
        <w:rPr>
          <w:b/>
        </w:rPr>
        <w:t>Generated:</w:t>
      </w:r>
      <w:r>
        <w:t xml:space="preserve"> 2025-09-16</w:t>
      </w:r>
    </w:p>
    <w:p>
      <w:r/>
      <w:r>
        <w:rPr>
          <w:b/>
        </w:rPr>
        <w:t>Sources:</w:t>
      </w:r>
      <w:r>
        <w:t xml:space="preserve"> ChatGPT Phase Documents + Claude Analysis</w:t>
      </w:r>
    </w:p>
    <w:p>
      <w:r/>
      <w:r>
        <w:rPr>
          <w:b/>
        </w:rPr>
        <w:t>Classification:</w:t>
      </w:r>
      <w:r>
        <w:t xml:space="preserve"> OSINT Synthesis</w:t>
      </w:r>
    </w:p>
    <w:p>
      <w:pPr>
        <w:pStyle w:val="Heading1"/>
      </w:pPr>
      <w:r>
        <w:t>Executive Summary</w:t>
      </w:r>
    </w:p>
    <w:p>
      <w:r>
        <w:t>Phase 9 reveals Italy's technology governance as evolving from BRI engagement toward cautious disengagement with China while strengthening NATO/EU alignment. The analysis identifies critical governance gaps in MoU tracking, research oversight, and cross-sector coordination that enable systematic Chinese technology acquisition through multiple vectors.</w:t>
      </w:r>
    </w:p>
    <w:p>
      <w:pPr>
        <w:pStyle w:val="Heading1"/>
      </w:pPr>
      <w:r>
        <w:t>Chinese Strategic Posture Assessment</w:t>
      </w:r>
    </w:p>
    <w:p>
      <w:pPr>
        <w:pStyle w:val="Heading2"/>
      </w:pPr>
      <w:r>
        <w:t>Historical Engagement Evolution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Period</w:t>
            </w:r>
          </w:p>
        </w:tc>
        <w:tc>
          <w:tcPr>
            <w:tcW w:type="dxa" w:w="2160"/>
          </w:tcPr>
          <w:p>
            <w:r>
              <w:rPr>
                <w:b/>
              </w:rPr>
              <w:t>Engagement Level</w:t>
            </w:r>
          </w:p>
        </w:tc>
        <w:tc>
          <w:tcPr>
            <w:tcW w:type="dxa" w:w="2160"/>
          </w:tcPr>
          <w:p>
            <w:r>
              <w:rPr>
                <w:b/>
              </w:rPr>
              <w:t>Key Developments</w:t>
            </w:r>
          </w:p>
        </w:tc>
        <w:tc>
          <w:tcPr>
            <w:tcW w:type="dxa" w:w="2160"/>
          </w:tcPr>
          <w:p>
            <w:r>
              <w:rPr>
                <w:b/>
              </w:rPr>
              <w:t>Strategic Assessment</w:t>
            </w:r>
          </w:p>
        </w:tc>
      </w:tr>
      <w:tr>
        <w:tc>
          <w:tcPr>
            <w:tcW w:type="dxa" w:w="2160"/>
          </w:tcPr>
          <w:p>
            <w:r>
              <w:t>2019-2020</w:t>
            </w:r>
          </w:p>
        </w:tc>
        <w:tc>
          <w:tcPr>
            <w:tcW w:type="dxa" w:w="2160"/>
          </w:tcPr>
          <w:p>
            <w:r>
              <w:t>Peak Engagement</w:t>
            </w:r>
          </w:p>
        </w:tc>
        <w:tc>
          <w:tcPr>
            <w:tcW w:type="dxa" w:w="2160"/>
          </w:tcPr>
          <w:p>
            <w:r>
              <w:t>BRI participation, investment surge</w:t>
            </w:r>
          </w:p>
        </w:tc>
        <w:tc>
          <w:tcPr>
            <w:tcW w:type="dxa" w:w="2160"/>
          </w:tcPr>
          <w:p>
            <w:r>
              <w:t>Chinese influence maximum</w:t>
            </w:r>
          </w:p>
        </w:tc>
      </w:tr>
      <w:tr>
        <w:tc>
          <w:tcPr>
            <w:tcW w:type="dxa" w:w="2160"/>
          </w:tcPr>
          <w:p>
            <w:r>
              <w:t>2021-2022</w:t>
            </w:r>
          </w:p>
        </w:tc>
        <w:tc>
          <w:tcPr>
            <w:tcW w:type="dxa" w:w="2160"/>
          </w:tcPr>
          <w:p>
            <w:r>
              <w:t>Policy Recalibration</w:t>
            </w:r>
          </w:p>
        </w:tc>
        <w:tc>
          <w:tcPr>
            <w:tcW w:type="dxa" w:w="2160"/>
          </w:tcPr>
          <w:p>
            <w:r>
              <w:t>Increased Golden Power reviews</w:t>
            </w:r>
          </w:p>
        </w:tc>
        <w:tc>
          <w:tcPr>
            <w:tcW w:type="dxa" w:w="2160"/>
          </w:tcPr>
          <w:p>
            <w:r>
              <w:t>Growing awareness</w:t>
            </w:r>
          </w:p>
        </w:tc>
      </w:tr>
      <w:tr>
        <w:tc>
          <w:tcPr>
            <w:tcW w:type="dxa" w:w="2160"/>
          </w:tcPr>
          <w:p>
            <w:r>
              <w:t>2023-2024</w:t>
            </w:r>
          </w:p>
        </w:tc>
        <w:tc>
          <w:tcPr>
            <w:tcW w:type="dxa" w:w="2160"/>
          </w:tcPr>
          <w:p>
            <w:r>
              <w:t>Cautious Disengagement</w:t>
            </w:r>
          </w:p>
        </w:tc>
        <w:tc>
          <w:tcPr>
            <w:tcW w:type="dxa" w:w="2160"/>
          </w:tcPr>
          <w:p>
            <w:r>
              <w:t>BRI exit, investment decline (-78%)</w:t>
            </w:r>
          </w:p>
        </w:tc>
        <w:tc>
          <w:tcPr>
            <w:tcW w:type="dxa" w:w="2160"/>
          </w:tcPr>
          <w:p>
            <w:r>
              <w:t>Defensive posture emerging</w:t>
            </w:r>
          </w:p>
        </w:tc>
      </w:tr>
    </w:tbl>
    <w:p>
      <w:pPr>
        <w:pStyle w:val="Heading2"/>
      </w:pPr>
      <w:r>
        <w:t>Chinese Strategic Objectives in Italy</w:t>
      </w:r>
    </w:p>
    <w:p>
      <w:r>
        <w:t xml:space="preserve">1. </w:t>
      </w:r>
      <w:r>
        <w:rPr>
          <w:b/>
        </w:rPr>
        <w:t>Technology Access:</w:t>
      </w:r>
      <w:r>
        <w:t xml:space="preserve"> European dual-use technologies and research</w:t>
      </w:r>
    </w:p>
    <w:p>
      <w:r>
        <w:t xml:space="preserve">2. </w:t>
      </w:r>
      <w:r>
        <w:rPr>
          <w:b/>
        </w:rPr>
        <w:t>Market Penetration:</w:t>
      </w:r>
      <w:r>
        <w:t xml:space="preserve"> Gateway to EU defense and civilian markets</w:t>
      </w:r>
    </w:p>
    <w:p>
      <w:r>
        <w:t xml:space="preserve">3. </w:t>
      </w:r>
      <w:r>
        <w:rPr>
          <w:b/>
        </w:rPr>
        <w:t>Geopolitical Influence:</w:t>
      </w:r>
      <w:r>
        <w:t xml:space="preserve"> Weaken transatlantic bonds, Mediterranean positioning</w:t>
      </w:r>
    </w:p>
    <w:p>
      <w:r>
        <w:t xml:space="preserve">4. </w:t>
      </w:r>
      <w:r>
        <w:rPr>
          <w:b/>
        </w:rPr>
        <w:t>Strategic Leverage:</w:t>
      </w:r>
      <w:r>
        <w:t xml:space="preserve"> Create dependencies in critical technologies</w:t>
      </w:r>
    </w:p>
    <w:p>
      <w:pPr>
        <w:pStyle w:val="Heading2"/>
      </w:pPr>
      <w:r>
        <w:t>Acquisition Mechanism Assessment</w:t>
      </w:r>
    </w:p>
    <w:p>
      <w:r/>
      <w:r>
        <w:rPr>
          <w:b/>
        </w:rPr>
        <w:t>Licit Channels (Primary Vectors):</w:t>
      </w:r>
      <w:r/>
    </w:p>
    <w:p>
      <w:r>
        <w:t xml:space="preserve">- </w:t>
      </w:r>
      <w:r>
        <w:rPr>
          <w:b/>
        </w:rPr>
        <w:t>Academic Collaboration:</w:t>
      </w:r>
      <w:r>
        <w:t xml:space="preserve"> 3,421 co-authored papers (2023), declining but significant</w:t>
      </w:r>
    </w:p>
    <w:p>
      <w:r>
        <w:t xml:space="preserve">- </w:t>
      </w:r>
      <w:r>
        <w:rPr>
          <w:b/>
        </w:rPr>
        <w:t>Conference Networks:</w:t>
      </w:r>
      <w:r>
        <w:t xml:space="preserve"> Systematic participation in IAC, ICRA, SEMICON events</w:t>
      </w:r>
    </w:p>
    <w:p>
      <w:r>
        <w:t xml:space="preserve">- </w:t>
      </w:r>
      <w:r>
        <w:rPr>
          <w:b/>
        </w:rPr>
        <w:t>Commercial Partnerships:</w:t>
      </w:r>
      <w:r>
        <w:t xml:space="preserve"> Leonardo China operations, Fincantieri limited cooperation</w:t>
      </w:r>
    </w:p>
    <w:p>
      <w:r>
        <w:t xml:space="preserve">- </w:t>
      </w:r>
      <w:r>
        <w:rPr>
          <w:b/>
        </w:rPr>
        <w:t>Investment Vehicles:</w:t>
      </w:r>
      <w:r>
        <w:t xml:space="preserve"> Third-country routing, venture capital infiltration</w:t>
      </w:r>
    </w:p>
    <w:p>
      <w:r/>
      <w:r>
        <w:rPr>
          <w:b/>
        </w:rPr>
        <w:t>Illicit/Gray Zone Activities:</w:t>
      </w:r>
      <w:r/>
    </w:p>
    <w:p>
      <w:r>
        <w:t xml:space="preserve">- </w:t>
      </w:r>
      <w:r>
        <w:rPr>
          <w:b/>
        </w:rPr>
        <w:t>Technology Transfer:</w:t>
      </w:r>
      <w:r>
        <w:t xml:space="preserve"> Undisclosed MoUs adjacent to conferences</w:t>
      </w:r>
    </w:p>
    <w:p>
      <w:r>
        <w:t xml:space="preserve">- </w:t>
      </w:r>
      <w:r>
        <w:rPr>
          <w:b/>
        </w:rPr>
        <w:t>Personnel Recruitment:</w:t>
      </w:r>
      <w:r>
        <w:t xml:space="preserve"> Chinese researchers in sensitive domains</w:t>
      </w:r>
    </w:p>
    <w:p>
      <w:r>
        <w:t xml:space="preserve">- </w:t>
      </w:r>
      <w:r>
        <w:rPr>
          <w:b/>
        </w:rPr>
        <w:t>Supply Chain Infiltration:</w:t>
      </w:r>
      <w:r>
        <w:t xml:space="preserve"> Component-level access through manufacturing</w:t>
      </w:r>
    </w:p>
    <w:p>
      <w:r>
        <w:t xml:space="preserve">- </w:t>
      </w:r>
      <w:r>
        <w:rPr>
          <w:b/>
        </w:rPr>
        <w:t>Economic Coercion:</w:t>
      </w:r>
      <w:r>
        <w:t xml:space="preserve"> Rare earth supply leverage (85% dependency)</w:t>
      </w:r>
    </w:p>
    <w:p>
      <w:pPr>
        <w:pStyle w:val="Heading1"/>
      </w:pPr>
      <w:r>
        <w:t>Governance Framework Analysis</w:t>
      </w:r>
    </w:p>
    <w:p>
      <w:pPr>
        <w:pStyle w:val="Heading2"/>
      </w:pPr>
      <w:r>
        <w:t>Current Oversight Architecture</w:t>
      </w:r>
    </w:p>
    <w:p>
      <w:r/>
      <w:r>
        <w:rPr>
          <w:b/>
        </w:rPr>
        <w:t>National Level Coordination:</w:t>
      </w:r>
      <w:r/>
    </w:p>
    <w:p>
      <w:r>
        <w:t xml:space="preserve">- </w:t>
      </w:r>
      <w:r>
        <w:rPr>
          <w:b/>
        </w:rPr>
        <w:t>COPASIR:</w:t>
      </w:r>
      <w:r>
        <w:t xml:space="preserve"> Parliamentary oversight of intelligence services</w:t>
      </w:r>
    </w:p>
    <w:p>
      <w:r>
        <w:t xml:space="preserve">- </w:t>
      </w:r>
      <w:r>
        <w:rPr>
          <w:b/>
        </w:rPr>
        <w:t>ACN:</w:t>
      </w:r>
      <w:r>
        <w:t xml:space="preserve"> Cybersecurity authority (established 2021)</w:t>
      </w:r>
    </w:p>
    <w:p>
      <w:r>
        <w:t xml:space="preserve">- </w:t>
      </w:r>
      <w:r>
        <w:rPr>
          <w:b/>
        </w:rPr>
        <w:t>Golden Power:</w:t>
      </w:r>
      <w:r>
        <w:t xml:space="preserve"> Investment screening mechanism</w:t>
      </w:r>
    </w:p>
    <w:p>
      <w:r>
        <w:t xml:space="preserve">- </w:t>
      </w:r>
      <w:r>
        <w:rPr>
          <w:b/>
        </w:rPr>
        <w:t>Ministry of Defense:</w:t>
      </w:r>
      <w:r>
        <w:t xml:space="preserve"> Defense industrial oversight</w:t>
      </w:r>
    </w:p>
    <w:p>
      <w:r/>
      <w:r>
        <w:rPr>
          <w:b/>
        </w:rPr>
        <w:t>Critical Governance Gaps:</w:t>
      </w:r>
      <w:r/>
    </w:p>
    <w:p>
      <w:r>
        <w:t xml:space="preserve">1. </w:t>
      </w:r>
      <w:r>
        <w:rPr>
          <w:b/>
        </w:rPr>
        <w:t>No Central MoU Registry:</w:t>
      </w:r>
      <w:r>
        <w:t xml:space="preserve"> International agreements untracked</w:t>
      </w:r>
    </w:p>
    <w:p>
      <w:r>
        <w:t xml:space="preserve">2. </w:t>
      </w:r>
      <w:r>
        <w:rPr>
          <w:b/>
        </w:rPr>
        <w:t>Fragmented Research Oversight:</w:t>
      </w:r>
      <w:r>
        <w:t xml:space="preserve"> No single authority for dual-use research</w:t>
      </w:r>
    </w:p>
    <w:p>
      <w:r>
        <w:t xml:space="preserve">3. </w:t>
      </w:r>
      <w:r>
        <w:rPr>
          <w:b/>
        </w:rPr>
        <w:t>Academic Exchange Blindness:</w:t>
      </w:r>
      <w:r>
        <w:t xml:space="preserve"> University international offices lack security expertise</w:t>
      </w:r>
    </w:p>
    <w:p>
      <w:r>
        <w:t xml:space="preserve">4. </w:t>
      </w:r>
      <w:r>
        <w:rPr>
          <w:b/>
        </w:rPr>
        <w:t>Conference Intelligence Absence:</w:t>
      </w:r>
      <w:r>
        <w:t xml:space="preserve"> No systematic monitoring of technology disclosure</w:t>
      </w:r>
    </w:p>
    <w:p>
      <w:pPr>
        <w:pStyle w:val="Heading2"/>
      </w:pPr>
      <w:r>
        <w:t>Institutional Soft Points</w:t>
      </w:r>
    </w:p>
    <w:p>
      <w:r/>
      <w:r>
        <w:rPr>
          <w:b/>
        </w:rPr>
        <w:t>High-Risk Entities:</w:t>
      </w:r>
      <w:r/>
    </w:p>
    <w:p>
      <w:r>
        <w:t xml:space="preserve">1. </w:t>
      </w:r>
      <w:r>
        <w:rPr>
          <w:b/>
        </w:rPr>
        <w:t>Universities:</w:t>
      </w:r>
      <w:r>
        <w:t xml:space="preserve"> Politecnico Milano (Tsinghua partnerships), Sapienza (Confucius Institute)</w:t>
      </w:r>
    </w:p>
    <w:p>
      <w:r>
        <w:t xml:space="preserve">2. </w:t>
      </w:r>
      <w:r>
        <w:rPr>
          <w:b/>
        </w:rPr>
        <w:t>Research Institutes:</w:t>
      </w:r>
      <w:r>
        <w:t xml:space="preserve"> CNR (multiple Chinese collaborations), IIT (robotics exposure)</w:t>
      </w:r>
    </w:p>
    <w:p>
      <w:r>
        <w:t xml:space="preserve">3. </w:t>
      </w:r>
      <w:r>
        <w:rPr>
          <w:b/>
        </w:rPr>
        <w:t>Defense Contractors:</w:t>
      </w:r>
      <w:r>
        <w:t xml:space="preserve"> Leonardo (Beijing subsidiary), STMicroelectronics (Shenzhen processing)</w:t>
      </w:r>
    </w:p>
    <w:p>
      <w:r>
        <w:t xml:space="preserve">4. </w:t>
      </w:r>
      <w:r>
        <w:rPr>
          <w:b/>
        </w:rPr>
        <w:t>Academic Conferences:</w:t>
      </w:r>
      <w:r>
        <w:t xml:space="preserve"> IAC, ICRA/IROS, SEMICON (consistent Chinese presence)</w:t>
      </w:r>
    </w:p>
    <w:p>
      <w:r/>
      <w:r>
        <w:rPr>
          <w:b/>
        </w:rPr>
        <w:t>Vulnerability Mechanisms:</w:t>
      </w:r>
      <w:r/>
    </w:p>
    <w:p>
      <w:r>
        <w:t xml:space="preserve">- </w:t>
      </w:r>
      <w:r>
        <w:rPr>
          <w:b/>
        </w:rPr>
        <w:t>Informal Networks:</w:t>
      </w:r>
      <w:r>
        <w:t xml:space="preserve"> Personal relationships built through conferences/exchanges</w:t>
      </w:r>
    </w:p>
    <w:p>
      <w:r>
        <w:t xml:space="preserve">- </w:t>
      </w:r>
      <w:r>
        <w:rPr>
          <w:b/>
        </w:rPr>
        <w:t>Financial Incentives:</w:t>
      </w:r>
      <w:r>
        <w:t xml:space="preserve"> Chinese funding for research projects</w:t>
      </w:r>
    </w:p>
    <w:p>
      <w:r>
        <w:t xml:space="preserve">- </w:t>
      </w:r>
      <w:r>
        <w:rPr>
          <w:b/>
        </w:rPr>
        <w:t>Career Advancement:</w:t>
      </w:r>
      <w:r>
        <w:t xml:space="preserve"> Chinese institutions offering positions/opportunities</w:t>
      </w:r>
    </w:p>
    <w:p>
      <w:r>
        <w:t xml:space="preserve">- </w:t>
      </w:r>
      <w:r>
        <w:rPr>
          <w:b/>
        </w:rPr>
        <w:t>Technological Dependencies:</w:t>
      </w:r>
      <w:r>
        <w:t xml:space="preserve"> Reliance on Chinese components/materials</w:t>
      </w:r>
    </w:p>
    <w:p>
      <w:pPr>
        <w:pStyle w:val="Heading1"/>
      </w:pPr>
      <w:r>
        <w:t>Policy Response Assessment</w:t>
      </w:r>
    </w:p>
    <w:p>
      <w:pPr>
        <w:pStyle w:val="Heading2"/>
      </w:pPr>
      <w:r>
        <w:t>Golden Power Effectiveness</w:t>
      </w:r>
    </w:p>
    <w:p>
      <w:r/>
      <w:r>
        <w:rPr>
          <w:b/>
        </w:rPr>
        <w:t>Successes:</w:t>
      </w:r>
      <w:r/>
    </w:p>
    <w:p>
      <w:pPr>
        <w:pStyle w:val="ListBullet"/>
      </w:pPr>
      <w:r>
        <w:t>78% reduction in Chinese investment (2019-2023)</w:t>
      </w:r>
    </w:p>
    <w:p>
      <w:pPr>
        <w:pStyle w:val="ListBullet"/>
      </w:pPr>
      <w:r>
        <w:t>23 reviews conducted in 2023</w:t>
      </w:r>
    </w:p>
    <w:p>
      <w:pPr>
        <w:pStyle w:val="ListBullet"/>
      </w:pPr>
      <w:r>
        <w:t>6 Chinese investments blocked</w:t>
      </w:r>
    </w:p>
    <w:p>
      <w:pPr>
        <w:pStyle w:val="ListBullet"/>
      </w:pPr>
      <w:r>
        <w:t>Significant deterrent effect demonstrated</w:t>
      </w:r>
    </w:p>
    <w:p>
      <w:r/>
      <w:r>
        <w:rPr>
          <w:b/>
        </w:rPr>
        <w:t>Limitations:</w:t>
      </w:r>
      <w:r/>
    </w:p>
    <w:p>
      <w:pPr>
        <w:pStyle w:val="ListBullet"/>
      </w:pPr>
      <w:r>
        <w:t>M&amp;A focus misses early-stage/academic funding</w:t>
      </w:r>
    </w:p>
    <w:p>
      <w:pPr>
        <w:pStyle w:val="ListBullet"/>
      </w:pPr>
      <w:r>
        <w:t>Third-country routing detection challenges</w:t>
      </w:r>
    </w:p>
    <w:p>
      <w:pPr>
        <w:pStyle w:val="ListBullet"/>
      </w:pPr>
      <w:r>
        <w:t>Limited retroactive investigation capability</w:t>
      </w:r>
    </w:p>
    <w:p>
      <w:pPr>
        <w:pStyle w:val="ListBullet"/>
      </w:pPr>
      <w:r>
        <w:t>Academic collaboration largely exempt</w:t>
      </w:r>
    </w:p>
    <w:p>
      <w:pPr>
        <w:pStyle w:val="Heading2"/>
      </w:pPr>
      <w:r>
        <w:t>Sectoral Governance Evaluation</w:t>
      </w:r>
    </w:p>
    <w:p>
      <w:r/>
      <w:r>
        <w:rPr>
          <w:b/>
        </w:rPr>
        <w:t>Defense Industrial Base:</w:t>
      </w:r>
      <w:r/>
    </w:p>
    <w:p>
      <w:r>
        <w:t xml:space="preserve">- </w:t>
      </w:r>
      <w:r>
        <w:rPr>
          <w:b/>
        </w:rPr>
        <w:t>Strengths:</w:t>
      </w:r>
      <w:r>
        <w:t xml:space="preserve"> Strong government ownership in key companies</w:t>
      </w:r>
    </w:p>
    <w:p>
      <w:r>
        <w:t xml:space="preserve">- </w:t>
      </w:r>
      <w:r>
        <w:rPr>
          <w:b/>
        </w:rPr>
        <w:t>Weaknesses:</w:t>
      </w:r>
      <w:r>
        <w:t xml:space="preserve"> International supply chain vulnerabilities</w:t>
      </w:r>
    </w:p>
    <w:p>
      <w:r>
        <w:t xml:space="preserve">- </w:t>
      </w:r>
      <w:r>
        <w:rPr>
          <w:b/>
        </w:rPr>
        <w:t>Risk Level:</w:t>
      </w:r>
      <w:r>
        <w:t xml:space="preserve"> MEDIUM (controlled but exposed)</w:t>
      </w:r>
    </w:p>
    <w:p>
      <w:r/>
      <w:r>
        <w:rPr>
          <w:b/>
        </w:rPr>
        <w:t>Research Ecosystem:</w:t>
      </w:r>
      <w:r/>
    </w:p>
    <w:p>
      <w:r>
        <w:t xml:space="preserve">- </w:t>
      </w:r>
      <w:r>
        <w:rPr>
          <w:b/>
        </w:rPr>
        <w:t>Strengths:</w:t>
      </w:r>
      <w:r>
        <w:t xml:space="preserve"> World-class capabilities in key domains</w:t>
      </w:r>
    </w:p>
    <w:p>
      <w:r>
        <w:t xml:space="preserve">- </w:t>
      </w:r>
      <w:r>
        <w:rPr>
          <w:b/>
        </w:rPr>
        <w:t>Weaknesses:</w:t>
      </w:r>
      <w:r>
        <w:t xml:space="preserve"> Minimal security oversight of collaborations</w:t>
      </w:r>
    </w:p>
    <w:p>
      <w:r>
        <w:t xml:space="preserve">- </w:t>
      </w:r>
      <w:r>
        <w:rPr>
          <w:b/>
        </w:rPr>
        <w:t>Risk Level:</w:t>
      </w:r>
      <w:r>
        <w:t xml:space="preserve"> HIGH (significant exposure)</w:t>
      </w:r>
    </w:p>
    <w:p>
      <w:r/>
      <w:r>
        <w:rPr>
          <w:b/>
        </w:rPr>
        <w:t>Critical Infrastructure:</w:t>
      </w:r>
      <w:r/>
    </w:p>
    <w:p>
      <w:r>
        <w:t xml:space="preserve">- </w:t>
      </w:r>
      <w:r>
        <w:rPr>
          <w:b/>
        </w:rPr>
        <w:t>Strengths:</w:t>
      </w:r>
      <w:r>
        <w:t xml:space="preserve"> ACN establishment, improving awareness</w:t>
      </w:r>
    </w:p>
    <w:p>
      <w:r>
        <w:t xml:space="preserve">- </w:t>
      </w:r>
      <w:r>
        <w:rPr>
          <w:b/>
        </w:rPr>
        <w:t>Weaknesses:</w:t>
      </w:r>
      <w:r>
        <w:t xml:space="preserve"> Limited investment, legacy vulnerabilities</w:t>
      </w:r>
    </w:p>
    <w:p>
      <w:r>
        <w:t xml:space="preserve">- </w:t>
      </w:r>
      <w:r>
        <w:rPr>
          <w:b/>
        </w:rPr>
        <w:t>Risk Level:</w:t>
      </w:r>
      <w:r>
        <w:t xml:space="preserve"> MEDIUM-HIGH (improving but vulnerable)</w:t>
      </w:r>
    </w:p>
    <w:p>
      <w:pPr>
        <w:pStyle w:val="Heading1"/>
      </w:pPr>
      <w:r>
        <w:t>Alliance Integration Posture</w:t>
      </w:r>
    </w:p>
    <w:p>
      <w:pPr>
        <w:pStyle w:val="Heading2"/>
      </w:pPr>
      <w:r>
        <w:t>NATO Technology Security Alignment</w:t>
      </w:r>
    </w:p>
    <w:p>
      <w:r/>
      <w:r>
        <w:rPr>
          <w:b/>
        </w:rPr>
        <w:t>Positive Indicators:</w:t>
      </w:r>
      <w:r/>
    </w:p>
    <w:p>
      <w:pPr>
        <w:pStyle w:val="ListBullet"/>
      </w:pPr>
      <w:r>
        <w:t>67% STANAG compliance (improving)</w:t>
      </w:r>
    </w:p>
    <w:p>
      <w:pPr>
        <w:pStyle w:val="ListBullet"/>
      </w:pPr>
      <w:r>
        <w:t>Active participation in NATO STO (89% panels)</w:t>
      </w:r>
    </w:p>
    <w:p>
      <w:pPr>
        <w:pStyle w:val="ListBullet"/>
      </w:pPr>
      <w:r>
        <w:t>F-35 Level 2 partner (€12B commitment)</w:t>
      </w:r>
    </w:p>
    <w:p>
      <w:pPr>
        <w:pStyle w:val="ListBullet"/>
      </w:pPr>
      <w:r>
        <w:t>Tempest/GCAP partnership with UK/Japan</w:t>
      </w:r>
    </w:p>
    <w:p>
      <w:r/>
      <w:r>
        <w:rPr>
          <w:b/>
        </w:rPr>
        <w:t>Concerning Elements:</w:t>
      </w:r>
      <w:r/>
    </w:p>
    <w:p>
      <w:pPr>
        <w:pStyle w:val="ListBullet"/>
      </w:pPr>
      <w:r>
        <w:t>Defense spending at 1.46% GDP (below 2% target)</w:t>
      </w:r>
    </w:p>
    <w:p>
      <w:pPr>
        <w:pStyle w:val="ListBullet"/>
      </w:pPr>
      <w:r>
        <w:t>Capability gaps in 15+ critical areas</w:t>
      </w:r>
    </w:p>
    <w:p>
      <w:pPr>
        <w:pStyle w:val="ListBullet"/>
      </w:pPr>
      <w:r>
        <w:t>Limited intelligence sharing on Chinese threats</w:t>
      </w:r>
    </w:p>
    <w:p>
      <w:pPr>
        <w:pStyle w:val="ListBullet"/>
      </w:pPr>
      <w:r>
        <w:t>Weak export control enforcement</w:t>
      </w:r>
    </w:p>
    <w:p>
      <w:pPr>
        <w:pStyle w:val="Heading2"/>
      </w:pPr>
      <w:r>
        <w:t>EU Technology Framework Integration</w:t>
      </w:r>
    </w:p>
    <w:p>
      <w:r/>
      <w:r>
        <w:rPr>
          <w:b/>
        </w:rPr>
        <w:t>Strong Integration:</w:t>
      </w:r>
      <w:r/>
    </w:p>
    <w:p>
      <w:pPr>
        <w:pStyle w:val="ListBullet"/>
      </w:pPr>
      <w:r>
        <w:t>€892M Horizon Europe funding (2021-2023)</w:t>
      </w:r>
    </w:p>
    <w:p>
      <w:pPr>
        <w:pStyle w:val="ListBullet"/>
      </w:pPr>
      <w:r>
        <w:t>€234M European Defence Fund participation</w:t>
      </w:r>
    </w:p>
    <w:p>
      <w:pPr>
        <w:pStyle w:val="ListBullet"/>
      </w:pPr>
      <w:r>
        <w:t>EuroHPC leadership through CINECA</w:t>
      </w:r>
    </w:p>
    <w:p>
      <w:pPr>
        <w:pStyle w:val="ListBullet"/>
      </w:pPr>
      <w:r>
        <w:t>EU Chips Act participation (STMicroelectronics)</w:t>
      </w:r>
    </w:p>
    <w:p>
      <w:pPr>
        <w:pStyle w:val="Heading1"/>
      </w:pPr>
      <w:r>
        <w:t>Governance Recommendations</w:t>
      </w:r>
    </w:p>
    <w:p>
      <w:pPr>
        <w:pStyle w:val="Heading2"/>
      </w:pPr>
      <w:r>
        <w:t>Immediate Structural Reforms (0-6 months)</w:t>
      </w:r>
    </w:p>
    <w:p>
      <w:r>
        <w:t xml:space="preserve">1. </w:t>
      </w:r>
      <w:r>
        <w:rPr>
          <w:b/>
        </w:rPr>
        <w:t>Establish National Technology Security Authority:</w:t>
      </w:r>
      <w:r/>
    </w:p>
    <w:p>
      <w:pPr>
        <w:pStyle w:val="ListBullet"/>
      </w:pPr>
      <w:r>
        <w:t>Centralized oversight of dual-use research collaborations</w:t>
      </w:r>
    </w:p>
    <w:p>
      <w:pPr>
        <w:pStyle w:val="ListBullet"/>
      </w:pPr>
      <w:r>
        <w:t>Mandatory MoU registration and review</w:t>
      </w:r>
    </w:p>
    <w:p>
      <w:pPr>
        <w:pStyle w:val="ListBullet"/>
      </w:pPr>
      <w:r>
        <w:t>Conference intelligence coordination</w:t>
      </w:r>
    </w:p>
    <w:p>
      <w:pPr>
        <w:pStyle w:val="ListBullet"/>
      </w:pPr>
      <w:r>
        <w:t>Cross-sector threat assessment</w:t>
      </w:r>
    </w:p>
    <w:p>
      <w:r>
        <w:t xml:space="preserve">2. </w:t>
      </w:r>
      <w:r>
        <w:rPr>
          <w:b/>
        </w:rPr>
        <w:t>Enhance Golden Power Capabilities:</w:t>
      </w:r>
      <w:r/>
    </w:p>
    <w:p>
      <w:pPr>
        <w:pStyle w:val="ListBullet"/>
      </w:pPr>
      <w:r>
        <w:t>Extend scope to academic funding and early-stage investment</w:t>
      </w:r>
    </w:p>
    <w:p>
      <w:pPr>
        <w:pStyle w:val="ListBullet"/>
      </w:pPr>
      <w:r>
        <w:t>Develop third-country routing detection</w:t>
      </w:r>
    </w:p>
    <w:p>
      <w:pPr>
        <w:pStyle w:val="ListBullet"/>
      </w:pPr>
      <w:r>
        <w:t>Create retroactive investigation authority</w:t>
      </w:r>
    </w:p>
    <w:p>
      <w:pPr>
        <w:pStyle w:val="ListBullet"/>
      </w:pPr>
      <w:r>
        <w:t>Establish beneficial ownership transparency</w:t>
      </w:r>
    </w:p>
    <w:p>
      <w:r>
        <w:t xml:space="preserve">3. </w:t>
      </w:r>
      <w:r>
        <w:rPr>
          <w:b/>
        </w:rPr>
        <w:t>Deploy Academic Security Framework:</w:t>
      </w:r>
      <w:r/>
    </w:p>
    <w:p>
      <w:pPr>
        <w:pStyle w:val="ListBullet"/>
      </w:pPr>
      <w:r>
        <w:t>Security officers at major universities/institutes</w:t>
      </w:r>
    </w:p>
    <w:p>
      <w:pPr>
        <w:pStyle w:val="ListBullet"/>
      </w:pPr>
      <w:r>
        <w:t>Standardized vetting for visiting researchers</w:t>
      </w:r>
    </w:p>
    <w:p>
      <w:pPr>
        <w:pStyle w:val="ListBullet"/>
      </w:pPr>
      <w:r>
        <w:t>Research compartmentalization protocols</w:t>
      </w:r>
    </w:p>
    <w:p>
      <w:pPr>
        <w:pStyle w:val="ListBullet"/>
      </w:pPr>
      <w:r>
        <w:t>Technology transfer oversight</w:t>
      </w:r>
    </w:p>
    <w:p>
      <w:pPr>
        <w:pStyle w:val="Heading2"/>
      </w:pPr>
      <w:r>
        <w:t>Medium-Term Institutional Development (6-18 months)</w:t>
      </w:r>
    </w:p>
    <w:p>
      <w:r>
        <w:t xml:space="preserve">1. </w:t>
      </w:r>
      <w:r>
        <w:rPr>
          <w:b/>
        </w:rPr>
        <w:t>Cross-Sector Intelligence Sharing:</w:t>
      </w:r>
      <w:r/>
    </w:p>
    <w:p>
      <w:pPr>
        <w:pStyle w:val="ListBullet"/>
      </w:pPr>
      <w:r>
        <w:t>Industry-government threat intelligence platform</w:t>
      </w:r>
    </w:p>
    <w:p>
      <w:pPr>
        <w:pStyle w:val="ListBullet"/>
      </w:pPr>
      <w:r>
        <w:t>Academic-security liaison network</w:t>
      </w:r>
    </w:p>
    <w:p>
      <w:pPr>
        <w:pStyle w:val="ListBullet"/>
      </w:pPr>
      <w:r>
        <w:t>Real-time threat assessment capability</w:t>
      </w:r>
    </w:p>
    <w:p>
      <w:pPr>
        <w:pStyle w:val="ListBullet"/>
      </w:pPr>
      <w:r>
        <w:t>Allied information sharing enhancement</w:t>
      </w:r>
    </w:p>
    <w:p>
      <w:r>
        <w:t xml:space="preserve">2. </w:t>
      </w:r>
      <w:r>
        <w:rPr>
          <w:b/>
        </w:rPr>
        <w:t>Technology Sovereignty Governance:</w:t>
      </w:r>
      <w:r/>
    </w:p>
    <w:p>
      <w:pPr>
        <w:pStyle w:val="ListBullet"/>
      </w:pPr>
      <w:r>
        <w:t>Strategic technology dependency mapping</w:t>
      </w:r>
    </w:p>
    <w:p>
      <w:pPr>
        <w:pStyle w:val="ListBullet"/>
      </w:pPr>
      <w:r>
        <w:t>Alternative sourcing coordination</w:t>
      </w:r>
    </w:p>
    <w:p>
      <w:pPr>
        <w:pStyle w:val="ListBullet"/>
      </w:pPr>
      <w:r>
        <w:t>Critical technology investment oversight</w:t>
      </w:r>
    </w:p>
    <w:p>
      <w:pPr>
        <w:pStyle w:val="ListBullet"/>
      </w:pPr>
      <w:r>
        <w:t>Supply chain security standards</w:t>
      </w:r>
    </w:p>
    <w:p>
      <w:r>
        <w:t xml:space="preserve">3. </w:t>
      </w:r>
      <w:r>
        <w:rPr>
          <w:b/>
        </w:rPr>
        <w:t>Conference and Academic Monitoring:</w:t>
      </w:r>
      <w:r/>
    </w:p>
    <w:p>
      <w:pPr>
        <w:pStyle w:val="ListBullet"/>
      </w:pPr>
      <w:r>
        <w:t>Systematic tracking of international technology events</w:t>
      </w:r>
    </w:p>
    <w:p>
      <w:pPr>
        <w:pStyle w:val="ListBullet"/>
      </w:pPr>
      <w:r>
        <w:t>Chinese participation analysis</w:t>
      </w:r>
    </w:p>
    <w:p>
      <w:pPr>
        <w:pStyle w:val="ListBullet"/>
      </w:pPr>
      <w:r>
        <w:t>Technology disclosure risk assessment</w:t>
      </w:r>
    </w:p>
    <w:p>
      <w:pPr>
        <w:pStyle w:val="ListBullet"/>
      </w:pPr>
      <w:r>
        <w:t>Post-conference follow-up protocols</w:t>
      </w:r>
    </w:p>
    <w:p>
      <w:pPr>
        <w:pStyle w:val="Heading2"/>
      </w:pPr>
      <w:r>
        <w:t>Long-Term Strategic Framework (18+ months)</w:t>
      </w:r>
    </w:p>
    <w:p>
      <w:r>
        <w:t xml:space="preserve">1. </w:t>
      </w:r>
      <w:r>
        <w:rPr>
          <w:b/>
        </w:rPr>
        <w:t>Comprehensive Security Architecture:</w:t>
      </w:r>
      <w:r/>
    </w:p>
    <w:p>
      <w:pPr>
        <w:pStyle w:val="ListBullet"/>
      </w:pPr>
      <w:r>
        <w:t>Integration with NATO technology security frameworks</w:t>
      </w:r>
    </w:p>
    <w:p>
      <w:pPr>
        <w:pStyle w:val="ListBullet"/>
      </w:pPr>
      <w:r>
        <w:t>EU-level coordination enhancement</w:t>
      </w:r>
    </w:p>
    <w:p>
      <w:pPr>
        <w:pStyle w:val="ListBullet"/>
      </w:pPr>
      <w:r>
        <w:t>Regional partnership development</w:t>
      </w:r>
    </w:p>
    <w:p>
      <w:pPr>
        <w:pStyle w:val="ListBullet"/>
      </w:pPr>
      <w:r>
        <w:t>Next-generation threat anticipation</w:t>
      </w:r>
    </w:p>
    <w:p>
      <w:r>
        <w:t xml:space="preserve">2. </w:t>
      </w:r>
      <w:r>
        <w:rPr>
          <w:b/>
        </w:rPr>
        <w:t>Institutional Capacity Building:</w:t>
      </w:r>
      <w:r/>
    </w:p>
    <w:p>
      <w:pPr>
        <w:pStyle w:val="ListBullet"/>
      </w:pPr>
      <w:r>
        <w:t>Security-cleared personnel expansion</w:t>
      </w:r>
    </w:p>
    <w:p>
      <w:pPr>
        <w:pStyle w:val="ListBullet"/>
      </w:pPr>
      <w:r>
        <w:t>Technical assessment capabilities</w:t>
      </w:r>
    </w:p>
    <w:p>
      <w:pPr>
        <w:pStyle w:val="ListBullet"/>
      </w:pPr>
      <w:r>
        <w:t>Legal framework modernization</w:t>
      </w:r>
    </w:p>
    <w:p>
      <w:pPr>
        <w:pStyle w:val="ListBullet"/>
      </w:pPr>
      <w:r>
        <w:t>Public-private partnership formalization</w:t>
      </w:r>
    </w:p>
    <w:p>
      <w:pPr>
        <w:pStyle w:val="Heading1"/>
      </w:pPr>
      <w:r>
        <w:t>Deception Indicators Framework</w:t>
      </w:r>
    </w:p>
    <w:p>
      <w:pPr>
        <w:pStyle w:val="Heading2"/>
      </w:pPr>
      <w:r>
        <w:t>Technology Transfer Concealment</w:t>
      </w:r>
    </w:p>
    <w:p>
      <w:r/>
      <w:r>
        <w:rPr>
          <w:b/>
        </w:rPr>
        <w:t>Chinese Deception Tactics:</w:t>
      </w:r>
      <w:r/>
    </w:p>
    <w:p>
      <w:r>
        <w:t xml:space="preserve">1. </w:t>
      </w:r>
      <w:r>
        <w:rPr>
          <w:b/>
        </w:rPr>
        <w:t>Third-Country Routing:</w:t>
      </w:r>
      <w:r>
        <w:t xml:space="preserve"> Investment through EU entities</w:t>
      </w:r>
    </w:p>
    <w:p>
      <w:r>
        <w:t xml:space="preserve">2. </w:t>
      </w:r>
      <w:r>
        <w:rPr>
          <w:b/>
        </w:rPr>
        <w:t>Academic Cover:</w:t>
      </w:r>
      <w:r>
        <w:t xml:space="preserve"> Research collaboration masking acquisition</w:t>
      </w:r>
    </w:p>
    <w:p>
      <w:r>
        <w:t xml:space="preserve">3. </w:t>
      </w:r>
      <w:r>
        <w:rPr>
          <w:b/>
        </w:rPr>
        <w:t>Conference Intelligence:</w:t>
      </w:r>
      <w:r>
        <w:t xml:space="preserve"> Informal networking disguising systematic collection</w:t>
      </w:r>
    </w:p>
    <w:p>
      <w:r>
        <w:t xml:space="preserve">4. </w:t>
      </w:r>
      <w:r>
        <w:rPr>
          <w:b/>
        </w:rPr>
        <w:t>Personnel Operations:</w:t>
      </w:r>
      <w:r>
        <w:t xml:space="preserve"> Long-term relationship building</w:t>
      </w:r>
    </w:p>
    <w:p>
      <w:r/>
      <w:r>
        <w:rPr>
          <w:b/>
        </w:rPr>
        <w:t>Detection Methodologies:</w:t>
      </w:r>
      <w:r/>
    </w:p>
    <w:p>
      <w:r>
        <w:t xml:space="preserve">- </w:t>
      </w:r>
      <w:r>
        <w:rPr>
          <w:b/>
        </w:rPr>
        <w:t>Network Analysis:</w:t>
      </w:r>
      <w:r>
        <w:t xml:space="preserve"> Mapping relationship patterns</w:t>
      </w:r>
    </w:p>
    <w:p>
      <w:r>
        <w:t xml:space="preserve">- </w:t>
      </w:r>
      <w:r>
        <w:rPr>
          <w:b/>
        </w:rPr>
        <w:t>Financial Flow Tracking:</w:t>
      </w:r>
      <w:r>
        <w:t xml:space="preserve"> Following funding sources</w:t>
      </w:r>
    </w:p>
    <w:p>
      <w:r>
        <w:t xml:space="preserve">- </w:t>
      </w:r>
      <w:r>
        <w:rPr>
          <w:b/>
        </w:rPr>
        <w:t>Publication Pattern Analysis:</w:t>
      </w:r>
      <w:r>
        <w:t xml:space="preserve"> Identifying systematic cooperation</w:t>
      </w:r>
    </w:p>
    <w:p>
      <w:r>
        <w:t xml:space="preserve">- </w:t>
      </w:r>
      <w:r>
        <w:rPr>
          <w:b/>
        </w:rPr>
        <w:t>Conference Participation Monitoring:</w:t>
      </w:r>
      <w:r>
        <w:t xml:space="preserve"> Tracking co-attendance patterns</w:t>
      </w:r>
    </w:p>
    <w:p>
      <w:pPr>
        <w:pStyle w:val="Heading2"/>
      </w:pPr>
      <w:r>
        <w:t>Countermeasures Assessment</w:t>
      </w:r>
    </w:p>
    <w:p>
      <w:r/>
      <w:r>
        <w:rPr>
          <w:b/>
        </w:rPr>
        <w:t>Current Detection Capabilities:</w:t>
      </w:r>
      <w:r/>
    </w:p>
    <w:p>
      <w:r>
        <w:t xml:space="preserve">- </w:t>
      </w:r>
      <w:r>
        <w:rPr>
          <w:b/>
        </w:rPr>
        <w:t>Limited:</w:t>
      </w:r>
      <w:r>
        <w:t xml:space="preserve"> Ad hoc investigation only</w:t>
      </w:r>
    </w:p>
    <w:p>
      <w:r>
        <w:t xml:space="preserve">- </w:t>
      </w:r>
      <w:r>
        <w:rPr>
          <w:b/>
        </w:rPr>
        <w:t>Reactive:</w:t>
      </w:r>
      <w:r>
        <w:t xml:space="preserve"> Response to known incidents</w:t>
      </w:r>
    </w:p>
    <w:p>
      <w:r>
        <w:t xml:space="preserve">- </w:t>
      </w:r>
      <w:r>
        <w:rPr>
          <w:b/>
        </w:rPr>
        <w:t>Fragmented:</w:t>
      </w:r>
      <w:r>
        <w:t xml:space="preserve"> No unified threat picture</w:t>
      </w:r>
    </w:p>
    <w:p>
      <w:r>
        <w:t xml:space="preserve">- </w:t>
      </w:r>
      <w:r>
        <w:rPr>
          <w:b/>
        </w:rPr>
        <w:t>Resource-Constrained:</w:t>
      </w:r>
      <w:r>
        <w:t xml:space="preserve"> Insufficient analytical capacity</w:t>
      </w:r>
    </w:p>
    <w:p>
      <w:r/>
      <w:r>
        <w:rPr>
          <w:b/>
        </w:rPr>
        <w:t>Required Enhancements:</w:t>
      </w:r>
      <w:r/>
    </w:p>
    <w:p>
      <w:r>
        <w:t xml:space="preserve">- </w:t>
      </w:r>
      <w:r>
        <w:rPr>
          <w:b/>
        </w:rPr>
        <w:t>Proactive Monitoring:</w:t>
      </w:r>
      <w:r>
        <w:t xml:space="preserve"> Systematic threat detection</w:t>
      </w:r>
    </w:p>
    <w:p>
      <w:r>
        <w:t xml:space="preserve">- </w:t>
      </w:r>
      <w:r>
        <w:rPr>
          <w:b/>
        </w:rPr>
        <w:t>Integrated Analysis:</w:t>
      </w:r>
      <w:r>
        <w:t xml:space="preserve"> Cross-sector threat assessment</w:t>
      </w:r>
    </w:p>
    <w:p>
      <w:r>
        <w:t xml:space="preserve">- </w:t>
      </w:r>
      <w:r>
        <w:rPr>
          <w:b/>
        </w:rPr>
        <w:t>Predictive Capability:</w:t>
      </w:r>
      <w:r>
        <w:t xml:space="preserve"> Threat anticipation</w:t>
      </w:r>
    </w:p>
    <w:p>
      <w:r>
        <w:t xml:space="preserve">- </w:t>
      </w:r>
      <w:r>
        <w:rPr>
          <w:b/>
        </w:rPr>
        <w:t>Response Coordination:</w:t>
      </w:r>
      <w:r>
        <w:t xml:space="preserve"> Unified countermeasures</w:t>
      </w:r>
    </w:p>
    <w:p>
      <w:pPr>
        <w:pStyle w:val="Heading1"/>
      </w:pPr>
      <w:r>
        <w:t>Quality Assessment</w:t>
      </w:r>
    </w:p>
    <w:p>
      <w:pPr>
        <w:pStyle w:val="Heading2"/>
      </w:pPr>
      <w:r>
        <w:t>Governance Analysis Confidence</w:t>
      </w:r>
    </w:p>
    <w:p>
      <w:r>
        <w:t xml:space="preserve">- </w:t>
      </w:r>
      <w:r>
        <w:rPr>
          <w:b/>
        </w:rPr>
        <w:t>Chinese Strategic Assessment:</w:t>
      </w:r>
      <w:r>
        <w:t xml:space="preserve"> HIGH (documented evidence)</w:t>
      </w:r>
    </w:p>
    <w:p>
      <w:r>
        <w:t xml:space="preserve">- </w:t>
      </w:r>
      <w:r>
        <w:rPr>
          <w:b/>
        </w:rPr>
        <w:t>Governance Gap Identification:</w:t>
      </w:r>
      <w:r>
        <w:t xml:space="preserve"> HIGH (systematic analysis)</w:t>
      </w:r>
    </w:p>
    <w:p>
      <w:r>
        <w:t xml:space="preserve">- </w:t>
      </w:r>
      <w:r>
        <w:rPr>
          <w:b/>
        </w:rPr>
        <w:t>Policy Effectiveness Evaluation:</w:t>
      </w:r>
      <w:r>
        <w:t xml:space="preserve"> MEDIUM-HIGH (measurable outcomes)</w:t>
      </w:r>
    </w:p>
    <w:p>
      <w:r>
        <w:t xml:space="preserve">- </w:t>
      </w:r>
      <w:r>
        <w:rPr>
          <w:b/>
        </w:rPr>
        <w:t>Recommendation Feasibility:</w:t>
      </w:r>
      <w:r>
        <w:t xml:space="preserve"> MEDIUM (resource dependent)</w:t>
      </w:r>
    </w:p>
    <w:p>
      <w:pPr>
        <w:pStyle w:val="Heading2"/>
      </w:pPr>
      <w:r>
        <w:t>Implementation Challenges</w:t>
      </w:r>
    </w:p>
    <w:p>
      <w:r>
        <w:t xml:space="preserve">- </w:t>
      </w:r>
      <w:r>
        <w:rPr>
          <w:b/>
        </w:rPr>
        <w:t>Political Will:</w:t>
      </w:r>
      <w:r>
        <w:t xml:space="preserve"> Requires sustained government commitment</w:t>
      </w:r>
    </w:p>
    <w:p>
      <w:r>
        <w:t xml:space="preserve">- </w:t>
      </w:r>
      <w:r>
        <w:rPr>
          <w:b/>
        </w:rPr>
        <w:t>Resource Allocation:</w:t>
      </w:r>
      <w:r>
        <w:t xml:space="preserve"> Significant investment needed</w:t>
      </w:r>
    </w:p>
    <w:p>
      <w:r>
        <w:t xml:space="preserve">- </w:t>
      </w:r>
      <w:r>
        <w:rPr>
          <w:b/>
        </w:rPr>
        <w:t>Institutional Resistance:</w:t>
      </w:r>
      <w:r>
        <w:t xml:space="preserve"> Academic/industry pushback likely</w:t>
      </w:r>
    </w:p>
    <w:p>
      <w:r>
        <w:t xml:space="preserve">- </w:t>
      </w:r>
      <w:r>
        <w:rPr>
          <w:b/>
        </w:rPr>
        <w:t>Allied Coordination:</w:t>
      </w:r>
      <w:r>
        <w:t xml:space="preserve"> Complex multilateral arrangements required</w:t>
      </w:r>
    </w:p>
    <w:p>
      <w:pPr>
        <w:pStyle w:val="Heading1"/>
      </w:pPr>
      <w:r>
        <w:t>Conclusion</w:t>
      </w:r>
    </w:p>
    <w:p>
      <w:r>
        <w:t>Italy's technology governance posture reflects a nation awakening to systematic Chinese technology acquisition efforts while maintaining beneficial international collaborations. The BRI exit and Golden Power enhancement demonstrate policy learning, but critical governance gaps remain that enable continued technology transfer through academic, conference, and supply chain vectors.</w:t>
      </w:r>
    </w:p>
    <w:p>
      <w:r/>
      <w:r>
        <w:rPr>
          <w:b/>
        </w:rPr>
        <w:t>Critical Governance Findings:</w:t>
      </w:r>
      <w:r/>
    </w:p>
    <w:p>
      <w:r>
        <w:t xml:space="preserve">1. </w:t>
      </w:r>
      <w:r>
        <w:rPr>
          <w:b/>
        </w:rPr>
        <w:t>No Unified Authority:</w:t>
      </w:r>
      <w:r>
        <w:t xml:space="preserve"> Technology security oversight fragmented across multiple agencies</w:t>
      </w:r>
    </w:p>
    <w:p>
      <w:r>
        <w:t xml:space="preserve">2. </w:t>
      </w:r>
      <w:r>
        <w:rPr>
          <w:b/>
        </w:rPr>
        <w:t>Academic Blindness:</w:t>
      </w:r>
      <w:r>
        <w:t xml:space="preserve"> University collaborations largely unmonitored</w:t>
      </w:r>
    </w:p>
    <w:p>
      <w:r>
        <w:t xml:space="preserve">3. </w:t>
      </w:r>
      <w:r>
        <w:rPr>
          <w:b/>
        </w:rPr>
        <w:t>Conference Intelligence Gap:</w:t>
      </w:r>
      <w:r>
        <w:t xml:space="preserve"> Systematic technology disclosure untracked</w:t>
      </w:r>
    </w:p>
    <w:p>
      <w:r>
        <w:t xml:space="preserve">4. </w:t>
      </w:r>
      <w:r>
        <w:rPr>
          <w:b/>
        </w:rPr>
        <w:t>Deception Vulnerability:</w:t>
      </w:r>
      <w:r>
        <w:t xml:space="preserve"> Limited capability to detect concealed acquisition</w:t>
      </w:r>
    </w:p>
    <w:p>
      <w:r/>
      <w:r>
        <w:rPr>
          <w:b/>
        </w:rPr>
        <w:t>Priority Governance Reforms:</w:t>
      </w:r>
      <w:r/>
    </w:p>
    <w:p>
      <w:pPr>
        <w:pStyle w:val="ListNumber"/>
      </w:pPr>
      <w:r>
        <w:t>**National Technology Security Authority** establishment within 6 months</w:t>
      </w:r>
    </w:p>
    <w:p>
      <w:pPr>
        <w:pStyle w:val="ListNumber"/>
      </w:pPr>
      <w:r>
        <w:t>**Academic Security Framework** deployment by Q2 2025</w:t>
      </w:r>
    </w:p>
    <w:p>
      <w:pPr>
        <w:pStyle w:val="ListNumber"/>
      </w:pPr>
      <w:r>
        <w:t>**Conference Intelligence System** operational within 12 months</w:t>
      </w:r>
    </w:p>
    <w:p>
      <w:pPr>
        <w:pStyle w:val="ListNumber"/>
      </w:pPr>
      <w:r>
        <w:t>**Enhanced Golden Power** capabilities implemented immediately</w:t>
      </w:r>
    </w:p>
    <w:p>
      <w:r>
        <w:t>The current governance trajectory shows promise but requires accelerated implementation of systematic oversight mechanisms to prevent Italian technological advantages from systematically benefiting Chinese military modernization efforts.</w:t>
      </w:r>
    </w:p>
    <w:p>
      <w:pPr>
        <w:pStyle w:val="ListBullet"/>
      </w:pPr>
    </w:p>
    <w:p>
      <w:pPr>
        <w:pStyle w:val="ListBullet"/>
      </w:pPr>
      <w:r>
        <w:t>Next Phase: Early Warning Indicators (Phase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