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10: Early Warning Indicators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10 establishes a comprehensive early warning system for Italy's technology security, identifying 47 quantitative indicators across five threat categories. The framework challenges key assumptions about NATO alignment (20-30% probability of failure) and Golden Power effectiveness (30-40% circumvention risk) while providing actionable thresholds for policy intervention.</w:t>
      </w:r>
    </w:p>
    <w:p>
      <w:pPr>
        <w:pStyle w:val="Heading1"/>
      </w:pPr>
      <w:r>
        <w:t>Strategic Assumption Challenges</w:t>
      </w:r>
    </w:p>
    <w:p>
      <w:pPr>
        <w:pStyle w:val="Heading2"/>
      </w:pPr>
      <w:r>
        <w:t>Critical Assumption Failures</w:t>
      </w:r>
    </w:p>
    <w:p>
      <w:r/>
      <w:r>
        <w:rPr>
          <w:b/>
        </w:rPr>
        <w:t>Assumption 1: NATO Alignment Sustainability</w:t>
      </w:r>
      <w:r/>
    </w:p>
    <w:p>
      <w:r>
        <w:t xml:space="preserve">- </w:t>
      </w:r>
      <w:r>
        <w:rPr>
          <w:b/>
        </w:rPr>
        <w:t>Challenge:</w:t>
      </w:r>
      <w:r>
        <w:t xml:space="preserve"> Rising populist parties question NATO spending amid economic pressures</w:t>
      </w:r>
    </w:p>
    <w:p>
      <w:r>
        <w:t xml:space="preserve">- </w:t>
      </w:r>
      <w:r>
        <w:rPr>
          <w:b/>
        </w:rPr>
        <w:t>Evidence Against:</w:t>
      </w:r>
      <w:r>
        <w:t xml:space="preserve"> 5-Star Movement NATO skepticism, Lega historical Russia ties</w:t>
      </w:r>
    </w:p>
    <w:p>
      <w:r>
        <w:t xml:space="preserve">- </w:t>
      </w:r>
      <w:r>
        <w:rPr>
          <w:b/>
        </w:rPr>
        <w:t>Probability Wrong:</w:t>
      </w:r>
      <w:r>
        <w:t xml:space="preserve"> 20-30%</w:t>
      </w:r>
    </w:p>
    <w:p>
      <w:r>
        <w:t xml:space="preserve">- </w:t>
      </w:r>
      <w:r>
        <w:rPr>
          <w:b/>
        </w:rPr>
        <w:t>Impact if Wrong:</w:t>
      </w:r>
      <w:r>
        <w:t xml:space="preserve"> HIGH - Could trigger alliance crisis</w:t>
      </w:r>
    </w:p>
    <w:p>
      <w:r/>
      <w:r>
        <w:rPr>
          <w:b/>
        </w:rPr>
        <w:t>Assumption 2: Golden Power Screening Effectiveness</w:t>
      </w:r>
      <w:r/>
    </w:p>
    <w:p>
      <w:r>
        <w:t xml:space="preserve">- </w:t>
      </w:r>
      <w:r>
        <w:rPr>
          <w:b/>
        </w:rPr>
        <w:t>Challenge:</w:t>
      </w:r>
      <w:r>
        <w:t xml:space="preserve"> Complex corporate structures circumvent controls</w:t>
      </w:r>
    </w:p>
    <w:p>
      <w:r>
        <w:t xml:space="preserve">- </w:t>
      </w:r>
      <w:r>
        <w:rPr>
          <w:b/>
        </w:rPr>
        <w:t>Evidence Against:</w:t>
      </w:r>
      <w:r>
        <w:t xml:space="preserve"> Pirelli precedent, Port of Trieste indirect stakes</w:t>
      </w:r>
    </w:p>
    <w:p>
      <w:r>
        <w:t xml:space="preserve">- </w:t>
      </w:r>
      <w:r>
        <w:rPr>
          <w:b/>
        </w:rPr>
        <w:t>Probability Wrong:</w:t>
      </w:r>
      <w:r>
        <w:t xml:space="preserve"> 30-40%</w:t>
      </w:r>
    </w:p>
    <w:p>
      <w:r>
        <w:t xml:space="preserve">- </w:t>
      </w:r>
      <w:r>
        <w:rPr>
          <w:b/>
        </w:rPr>
        <w:t>Impact if Wrong:</w:t>
      </w:r>
      <w:r>
        <w:t xml:space="preserve"> MEDIUM - Critical infrastructure exposure</w:t>
      </w:r>
    </w:p>
    <w:p>
      <w:r/>
      <w:r>
        <w:rPr>
          <w:b/>
        </w:rPr>
        <w:t>Assumption 3: Defense Industrial Sovereignty</w:t>
      </w:r>
      <w:r/>
    </w:p>
    <w:p>
      <w:r>
        <w:t xml:space="preserve">- </w:t>
      </w:r>
      <w:r>
        <w:rPr>
          <w:b/>
        </w:rPr>
        <w:t>Challenge:</w:t>
      </w:r>
      <w:r>
        <w:t xml:space="preserve"> Financial pressures could force Leonardo/Fincantieri stake sales</w:t>
      </w:r>
    </w:p>
    <w:p>
      <w:r>
        <w:t xml:space="preserve">- </w:t>
      </w:r>
      <w:r>
        <w:rPr>
          <w:b/>
        </w:rPr>
        <w:t>Evidence Against:</w:t>
      </w:r>
      <w:r>
        <w:t xml:space="preserve"> STX shipbuilding precedent, mounting financial constraints</w:t>
      </w:r>
    </w:p>
    <w:p>
      <w:r>
        <w:t xml:space="preserve">- </w:t>
      </w:r>
      <w:r>
        <w:rPr>
          <w:b/>
        </w:rPr>
        <w:t>Probability Wrong:</w:t>
      </w:r>
      <w:r>
        <w:t xml:space="preserve"> 15-20%</w:t>
      </w:r>
    </w:p>
    <w:p>
      <w:r>
        <w:t xml:space="preserve">- </w:t>
      </w:r>
      <w:r>
        <w:rPr>
          <w:b/>
        </w:rPr>
        <w:t>Impact if Wrong:</w:t>
      </w:r>
      <w:r>
        <w:t xml:space="preserve"> CRITICAL - Loss of defense industrial base</w:t>
      </w:r>
    </w:p>
    <w:p>
      <w:pPr>
        <w:pStyle w:val="Heading1"/>
      </w:pPr>
      <w:r>
        <w:t>Threat Category Indicators</w:t>
      </w:r>
    </w:p>
    <w:p>
      <w:pPr>
        <w:pStyle w:val="Heading2"/>
      </w:pPr>
      <w:r>
        <w:t>Category 1: Defense Capability Degradation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Yellow Alert</w:t>
            </w:r>
          </w:p>
        </w:tc>
        <w:tc>
          <w:tcPr>
            <w:tcW w:type="dxa" w:w="1728"/>
          </w:tcPr>
          <w:p>
            <w:r>
              <w:rPr>
                <w:b/>
              </w:rPr>
              <w:t>Red Alert</w:t>
            </w:r>
          </w:p>
        </w:tc>
        <w:tc>
          <w:tcPr>
            <w:tcW w:type="dxa" w:w="1728"/>
          </w:tcPr>
          <w:p>
            <w:r>
              <w:rPr>
                <w:b/>
              </w:rPr>
              <w:t>Trend</w:t>
            </w:r>
          </w:p>
        </w:tc>
      </w:tr>
      <w:tr>
        <w:tc>
          <w:tcPr>
            <w:tcW w:type="dxa" w:w="1728"/>
          </w:tcPr>
          <w:p>
            <w:r>
              <w:t>Defense Spending/GDP</w:t>
            </w:r>
          </w:p>
        </w:tc>
        <w:tc>
          <w:tcPr>
            <w:tcW w:type="dxa" w:w="1728"/>
          </w:tcPr>
          <w:p>
            <w:r>
              <w:t>1.46%</w:t>
            </w:r>
          </w:p>
        </w:tc>
        <w:tc>
          <w:tcPr>
            <w:tcW w:type="dxa" w:w="1728"/>
          </w:tcPr>
          <w:p>
            <w:r>
              <w:t>&lt;1.4%</w:t>
            </w:r>
          </w:p>
        </w:tc>
        <w:tc>
          <w:tcPr>
            <w:tcW w:type="dxa" w:w="1728"/>
          </w:tcPr>
          <w:p>
            <w:r>
              <w:t>&lt;1.3%</w:t>
            </w:r>
          </w:p>
        </w:tc>
        <w:tc>
          <w:tcPr>
            <w:tcW w:type="dxa" w:w="1728"/>
          </w:tcPr>
          <w:p>
            <w:r>
              <w:t>Stable</w:t>
            </w:r>
          </w:p>
        </w:tc>
      </w:tr>
      <w:tr>
        <w:tc>
          <w:tcPr>
            <w:tcW w:type="dxa" w:w="1728"/>
          </w:tcPr>
          <w:p>
            <w:r>
              <w:t>NATO Capability Gaps</w:t>
            </w:r>
          </w:p>
        </w:tc>
        <w:tc>
          <w:tcPr>
            <w:tcW w:type="dxa" w:w="1728"/>
          </w:tcPr>
          <w:p>
            <w:r>
              <w:t>15 areas</w:t>
            </w:r>
          </w:p>
        </w:tc>
        <w:tc>
          <w:tcPr>
            <w:tcW w:type="dxa" w:w="1728"/>
          </w:tcPr>
          <w:p>
            <w:r>
              <w:t>&gt;20 areas</w:t>
            </w:r>
          </w:p>
        </w:tc>
        <w:tc>
          <w:tcPr>
            <w:tcW w:type="dxa" w:w="1728"/>
          </w:tcPr>
          <w:p>
            <w:r>
              <w:t>&gt;25 areas</w:t>
            </w:r>
          </w:p>
        </w:tc>
        <w:tc>
          <w:tcPr>
            <w:tcW w:type="dxa" w:w="1728"/>
          </w:tcPr>
          <w:p>
            <w:r>
              <w:t>Worsening</w:t>
            </w:r>
          </w:p>
        </w:tc>
      </w:tr>
      <w:tr>
        <w:tc>
          <w:tcPr>
            <w:tcW w:type="dxa" w:w="1728"/>
          </w:tcPr>
          <w:p>
            <w:r>
              <w:t>Equipment Readiness</w:t>
            </w:r>
          </w:p>
        </w:tc>
        <w:tc>
          <w:tcPr>
            <w:tcW w:type="dxa" w:w="1728"/>
          </w:tcPr>
          <w:p>
            <w:r>
              <w:t>67%</w:t>
            </w:r>
          </w:p>
        </w:tc>
        <w:tc>
          <w:tcPr>
            <w:tcW w:type="dxa" w:w="1728"/>
          </w:tcPr>
          <w:p>
            <w:r>
              <w:t>&lt;60%</w:t>
            </w:r>
          </w:p>
        </w:tc>
        <w:tc>
          <w:tcPr>
            <w:tcW w:type="dxa" w:w="1728"/>
          </w:tcPr>
          <w:p>
            <w:r>
              <w:t>&lt;50%</w:t>
            </w:r>
          </w:p>
        </w:tc>
        <w:tc>
          <w:tcPr>
            <w:tcW w:type="dxa" w:w="1728"/>
          </w:tcPr>
          <w:p>
            <w:r>
              <w:t>Declining</w:t>
            </w:r>
          </w:p>
        </w:tc>
      </w:tr>
      <w:tr>
        <w:tc>
          <w:tcPr>
            <w:tcW w:type="dxa" w:w="1728"/>
          </w:tcPr>
          <w:p>
            <w:r>
              <w:t>Personnel Shortfall</w:t>
            </w:r>
          </w:p>
        </w:tc>
        <w:tc>
          <w:tcPr>
            <w:tcW w:type="dxa" w:w="1728"/>
          </w:tcPr>
          <w:p>
            <w:r>
              <w:t>8%</w:t>
            </w:r>
          </w:p>
        </w:tc>
        <w:tc>
          <w:tcPr>
            <w:tcW w:type="dxa" w:w="1728"/>
          </w:tcPr>
          <w:p>
            <w:r>
              <w:t>&gt;12%</w:t>
            </w:r>
          </w:p>
        </w:tc>
        <w:tc>
          <w:tcPr>
            <w:tcW w:type="dxa" w:w="1728"/>
          </w:tcPr>
          <w:p>
            <w:r>
              <w:t>&gt;15%</w:t>
            </w:r>
          </w:p>
        </w:tc>
        <w:tc>
          <w:tcPr>
            <w:tcW w:type="dxa" w:w="1728"/>
          </w:tcPr>
          <w:p>
            <w:r>
              <w:t>Stable</w:t>
            </w:r>
          </w:p>
        </w:tc>
      </w:tr>
    </w:tbl>
    <w:p>
      <w:pPr>
        <w:pStyle w:val="Heading2"/>
      </w:pPr>
      <w:r>
        <w:t>Category 2: Technology Sovereignty Erosion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Yellow Alert</w:t>
            </w:r>
          </w:p>
        </w:tc>
        <w:tc>
          <w:tcPr>
            <w:tcW w:type="dxa" w:w="1728"/>
          </w:tcPr>
          <w:p>
            <w:r>
              <w:rPr>
                <w:b/>
              </w:rPr>
              <w:t>Red Alert</w:t>
            </w:r>
          </w:p>
        </w:tc>
        <w:tc>
          <w:tcPr>
            <w:tcW w:type="dxa" w:w="1728"/>
          </w:tcPr>
          <w:p>
            <w:r>
              <w:rPr>
                <w:b/>
              </w:rPr>
              <w:t>Trend</w:t>
            </w:r>
          </w:p>
        </w:tc>
      </w:tr>
      <w:tr>
        <w:tc>
          <w:tcPr>
            <w:tcW w:type="dxa" w:w="1728"/>
          </w:tcPr>
          <w:p>
            <w:r>
              <w:t>R&amp;D Investment/GDP</w:t>
            </w:r>
          </w:p>
        </w:tc>
        <w:tc>
          <w:tcPr>
            <w:tcW w:type="dxa" w:w="1728"/>
          </w:tcPr>
          <w:p>
            <w:r>
              <w:t>1.45%</w:t>
            </w:r>
          </w:p>
        </w:tc>
        <w:tc>
          <w:tcPr>
            <w:tcW w:type="dxa" w:w="1728"/>
          </w:tcPr>
          <w:p>
            <w:r>
              <w:t>&lt;1.4%</w:t>
            </w:r>
          </w:p>
        </w:tc>
        <w:tc>
          <w:tcPr>
            <w:tcW w:type="dxa" w:w="1728"/>
          </w:tcPr>
          <w:p>
            <w:r>
              <w:t>&lt;1.3%</w:t>
            </w:r>
          </w:p>
        </w:tc>
        <w:tc>
          <w:tcPr>
            <w:tcW w:type="dxa" w:w="1728"/>
          </w:tcPr>
          <w:p>
            <w:r>
              <w:t>Slight increase</w:t>
            </w:r>
          </w:p>
        </w:tc>
      </w:tr>
      <w:tr>
        <w:tc>
          <w:tcPr>
            <w:tcW w:type="dxa" w:w="1728"/>
          </w:tcPr>
          <w:p>
            <w:r>
              <w:t>Patent Applications</w:t>
            </w:r>
          </w:p>
        </w:tc>
        <w:tc>
          <w:tcPr>
            <w:tcW w:type="dxa" w:w="1728"/>
          </w:tcPr>
          <w:p>
            <w:r>
              <w:t>4,834</w:t>
            </w:r>
          </w:p>
        </w:tc>
        <w:tc>
          <w:tcPr>
            <w:tcW w:type="dxa" w:w="1728"/>
          </w:tcPr>
          <w:p>
            <w:r>
              <w:t>&lt;4,500</w:t>
            </w:r>
          </w:p>
        </w:tc>
        <w:tc>
          <w:tcPr>
            <w:tcW w:type="dxa" w:w="1728"/>
          </w:tcPr>
          <w:p>
            <w:r>
              <w:t>&lt;4,000</w:t>
            </w:r>
          </w:p>
        </w:tc>
        <w:tc>
          <w:tcPr>
            <w:tcW w:type="dxa" w:w="1728"/>
          </w:tcPr>
          <w:p>
            <w:r>
              <w:t>Stable</w:t>
            </w:r>
          </w:p>
        </w:tc>
      </w:tr>
      <w:tr>
        <w:tc>
          <w:tcPr>
            <w:tcW w:type="dxa" w:w="1728"/>
          </w:tcPr>
          <w:p>
            <w:r>
              <w:t>Foreign Tech Dependency</w:t>
            </w:r>
          </w:p>
        </w:tc>
        <w:tc>
          <w:tcPr>
            <w:tcW w:type="dxa" w:w="1728"/>
          </w:tcPr>
          <w:p>
            <w:r>
              <w:t>35%</w:t>
            </w:r>
          </w:p>
        </w:tc>
        <w:tc>
          <w:tcPr>
            <w:tcW w:type="dxa" w:w="1728"/>
          </w:tcPr>
          <w:p>
            <w:r>
              <w:t>&gt;50%</w:t>
            </w:r>
          </w:p>
        </w:tc>
        <w:tc>
          <w:tcPr>
            <w:tcW w:type="dxa" w:w="1728"/>
          </w:tcPr>
          <w:p>
            <w:r>
              <w:t>&gt;65%</w:t>
            </w:r>
          </w:p>
        </w:tc>
        <w:tc>
          <w:tcPr>
            <w:tcW w:type="dxa" w:w="1728"/>
          </w:tcPr>
          <w:p>
            <w:r>
              <w:t>Increasing</w:t>
            </w:r>
          </w:p>
        </w:tc>
      </w:tr>
      <w:tr>
        <w:tc>
          <w:tcPr>
            <w:tcW w:type="dxa" w:w="1728"/>
          </w:tcPr>
          <w:p>
            <w:r>
              <w:t>Critical Component Import</w:t>
            </w:r>
          </w:p>
        </w:tc>
        <w:tc>
          <w:tcPr>
            <w:tcW w:type="dxa" w:w="1728"/>
          </w:tcPr>
          <w:p>
            <w:r>
              <w:t>85% rare earths</w:t>
            </w:r>
          </w:p>
        </w:tc>
        <w:tc>
          <w:tcPr>
            <w:tcW w:type="dxa" w:w="1728"/>
          </w:tcPr>
          <w:p>
            <w:r>
              <w:t>&gt;90%</w:t>
            </w:r>
          </w:p>
        </w:tc>
        <w:tc>
          <w:tcPr>
            <w:tcW w:type="dxa" w:w="1728"/>
          </w:tcPr>
          <w:p>
            <w:r>
              <w:t>&gt;95%</w:t>
            </w:r>
          </w:p>
        </w:tc>
        <w:tc>
          <w:tcPr>
            <w:tcW w:type="dxa" w:w="1728"/>
          </w:tcPr>
          <w:p>
            <w:r>
              <w:t>Stable high</w:t>
            </w:r>
          </w:p>
        </w:tc>
      </w:tr>
    </w:tbl>
    <w:p>
      <w:pPr>
        <w:pStyle w:val="Heading2"/>
      </w:pPr>
      <w:r>
        <w:t>Category 3: Chinese Penetration Escalation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Yellow Alert</w:t>
            </w:r>
          </w:p>
        </w:tc>
        <w:tc>
          <w:tcPr>
            <w:tcW w:type="dxa" w:w="1728"/>
          </w:tcPr>
          <w:p>
            <w:r>
              <w:rPr>
                <w:b/>
              </w:rPr>
              <w:t>Red Alert</w:t>
            </w:r>
          </w:p>
        </w:tc>
        <w:tc>
          <w:tcPr>
            <w:tcW w:type="dxa" w:w="1728"/>
          </w:tcPr>
          <w:p>
            <w:r>
              <w:rPr>
                <w:b/>
              </w:rPr>
              <w:t>Trend</w:t>
            </w:r>
          </w:p>
        </w:tc>
      </w:tr>
      <w:tr>
        <w:tc>
          <w:tcPr>
            <w:tcW w:type="dxa" w:w="1728"/>
          </w:tcPr>
          <w:p>
            <w:r>
              <w:t>Co-publications</w:t>
            </w:r>
          </w:p>
        </w:tc>
        <w:tc>
          <w:tcPr>
            <w:tcW w:type="dxa" w:w="1728"/>
          </w:tcPr>
          <w:p>
            <w:r>
              <w:t>3,421</w:t>
            </w:r>
          </w:p>
        </w:tc>
        <w:tc>
          <w:tcPr>
            <w:tcW w:type="dxa" w:w="1728"/>
          </w:tcPr>
          <w:p>
            <w:r>
              <w:t>&gt;4,000</w:t>
            </w:r>
          </w:p>
        </w:tc>
        <w:tc>
          <w:tcPr>
            <w:tcW w:type="dxa" w:w="1728"/>
          </w:tcPr>
          <w:p>
            <w:r>
              <w:t>&gt;5,000</w:t>
            </w:r>
          </w:p>
        </w:tc>
        <w:tc>
          <w:tcPr>
            <w:tcW w:type="dxa" w:w="1728"/>
          </w:tcPr>
          <w:p>
            <w:r>
              <w:t>Declining</w:t>
            </w:r>
          </w:p>
        </w:tc>
      </w:tr>
      <w:tr>
        <w:tc>
          <w:tcPr>
            <w:tcW w:type="dxa" w:w="1728"/>
          </w:tcPr>
          <w:p>
            <w:r>
              <w:t>Conference Co-attendance</w:t>
            </w:r>
          </w:p>
        </w:tc>
        <w:tc>
          <w:tcPr>
            <w:tcW w:type="dxa" w:w="1728"/>
          </w:tcPr>
          <w:p>
            <w:r>
              <w:t>High</w:t>
            </w:r>
          </w:p>
        </w:tc>
        <w:tc>
          <w:tcPr>
            <w:tcW w:type="dxa" w:w="1728"/>
          </w:tcPr>
          <w:p>
            <w:r>
              <w:t>Very High</w:t>
            </w:r>
          </w:p>
        </w:tc>
        <w:tc>
          <w:tcPr>
            <w:tcW w:type="dxa" w:w="1728"/>
          </w:tcPr>
          <w:p>
            <w:r>
              <w:t>Systematic</w:t>
            </w:r>
          </w:p>
        </w:tc>
        <w:tc>
          <w:tcPr>
            <w:tcW w:type="dxa" w:w="1728"/>
          </w:tcPr>
          <w:p>
            <w:r>
              <w:t>Stable high</w:t>
            </w:r>
          </w:p>
        </w:tc>
      </w:tr>
      <w:tr>
        <w:tc>
          <w:tcPr>
            <w:tcW w:type="dxa" w:w="1728"/>
          </w:tcPr>
          <w:p>
            <w:r>
              <w:t>Investment Circumvention</w:t>
            </w:r>
          </w:p>
        </w:tc>
        <w:tc>
          <w:tcPr>
            <w:tcW w:type="dxa" w:w="1728"/>
          </w:tcPr>
          <w:p>
            <w:r>
              <w:t>6 cases</w:t>
            </w:r>
          </w:p>
        </w:tc>
        <w:tc>
          <w:tcPr>
            <w:tcW w:type="dxa" w:w="1728"/>
          </w:tcPr>
          <w:p>
            <w:r>
              <w:t>&gt;10 cases</w:t>
            </w:r>
          </w:p>
        </w:tc>
        <w:tc>
          <w:tcPr>
            <w:tcW w:type="dxa" w:w="1728"/>
          </w:tcPr>
          <w:p>
            <w:r>
              <w:t>&gt;15 cases</w:t>
            </w:r>
          </w:p>
        </w:tc>
        <w:tc>
          <w:tcPr>
            <w:tcW w:type="dxa" w:w="1728"/>
          </w:tcPr>
          <w:p>
            <w:r>
              <w:t>Unknown</w:t>
            </w:r>
          </w:p>
        </w:tc>
      </w:tr>
      <w:tr>
        <w:tc>
          <w:tcPr>
            <w:tcW w:type="dxa" w:w="1728"/>
          </w:tcPr>
          <w:p>
            <w:r>
              <w:t>Academic Exchange</w:t>
            </w:r>
          </w:p>
        </w:tc>
        <w:tc>
          <w:tcPr>
            <w:tcW w:type="dxa" w:w="1728"/>
          </w:tcPr>
          <w:p>
            <w:r>
              <w:t>Unknown</w:t>
            </w:r>
          </w:p>
        </w:tc>
        <w:tc>
          <w:tcPr>
            <w:tcW w:type="dxa" w:w="1728"/>
          </w:tcPr>
          <w:p>
            <w:r>
              <w:t>&gt;500</w:t>
            </w:r>
          </w:p>
        </w:tc>
        <w:tc>
          <w:tcPr>
            <w:tcW w:type="dxa" w:w="1728"/>
          </w:tcPr>
          <w:p>
            <w:r>
              <w:t>&gt;1000</w:t>
            </w:r>
          </w:p>
        </w:tc>
        <w:tc>
          <w:tcPr>
            <w:tcW w:type="dxa" w:w="1728"/>
          </w:tcPr>
          <w:p>
            <w:r>
              <w:t>Tracking gap</w:t>
            </w:r>
          </w:p>
        </w:tc>
      </w:tr>
    </w:tbl>
    <w:p>
      <w:pPr>
        <w:pStyle w:val="Heading2"/>
      </w:pPr>
      <w:r>
        <w:t>Category 4: Supply Chain Vulnerabilities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Yellow Alert</w:t>
            </w:r>
          </w:p>
        </w:tc>
        <w:tc>
          <w:tcPr>
            <w:tcW w:type="dxa" w:w="1728"/>
          </w:tcPr>
          <w:p>
            <w:r>
              <w:rPr>
                <w:b/>
              </w:rPr>
              <w:t>Red Alert</w:t>
            </w:r>
          </w:p>
        </w:tc>
        <w:tc>
          <w:tcPr>
            <w:tcW w:type="dxa" w:w="1728"/>
          </w:tcPr>
          <w:p>
            <w:r>
              <w:rPr>
                <w:b/>
              </w:rPr>
              <w:t>Trend</w:t>
            </w:r>
          </w:p>
        </w:tc>
      </w:tr>
      <w:tr>
        <w:tc>
          <w:tcPr>
            <w:tcW w:type="dxa" w:w="1728"/>
          </w:tcPr>
          <w:p>
            <w:r>
              <w:t>Single-Source Dependencies</w:t>
            </w:r>
          </w:p>
        </w:tc>
        <w:tc>
          <w:tcPr>
            <w:tcW w:type="dxa" w:w="1728"/>
          </w:tcPr>
          <w:p>
            <w:r>
              <w:t>12 identified</w:t>
            </w:r>
          </w:p>
        </w:tc>
        <w:tc>
          <w:tcPr>
            <w:tcW w:type="dxa" w:w="1728"/>
          </w:tcPr>
          <w:p>
            <w:r>
              <w:t>&gt;20</w:t>
            </w:r>
          </w:p>
        </w:tc>
        <w:tc>
          <w:tcPr>
            <w:tcW w:type="dxa" w:w="1728"/>
          </w:tcPr>
          <w:p>
            <w:r>
              <w:t>&gt;30</w:t>
            </w:r>
          </w:p>
        </w:tc>
        <w:tc>
          <w:tcPr>
            <w:tcW w:type="dxa" w:w="1728"/>
          </w:tcPr>
          <w:p>
            <w:r>
              <w:t>Increasing</w:t>
            </w:r>
          </w:p>
        </w:tc>
      </w:tr>
      <w:tr>
        <w:tc>
          <w:tcPr>
            <w:tcW w:type="dxa" w:w="1728"/>
          </w:tcPr>
          <w:p>
            <w:r>
              <w:t>Chinese Supplier Share</w:t>
            </w:r>
          </w:p>
        </w:tc>
        <w:tc>
          <w:tcPr>
            <w:tcW w:type="dxa" w:w="1728"/>
          </w:tcPr>
          <w:p>
            <w:r>
              <w:t>15% electronics</w:t>
            </w:r>
          </w:p>
        </w:tc>
        <w:tc>
          <w:tcPr>
            <w:tcW w:type="dxa" w:w="1728"/>
          </w:tcPr>
          <w:p>
            <w:r>
              <w:t>&gt;25%</w:t>
            </w:r>
          </w:p>
        </w:tc>
        <w:tc>
          <w:tcPr>
            <w:tcW w:type="dxa" w:w="1728"/>
          </w:tcPr>
          <w:p>
            <w:r>
              <w:t>&gt;40%</w:t>
            </w:r>
          </w:p>
        </w:tc>
        <w:tc>
          <w:tcPr>
            <w:tcW w:type="dxa" w:w="1728"/>
          </w:tcPr>
          <w:p>
            <w:r>
              <w:t>Unknown</w:t>
            </w:r>
          </w:p>
        </w:tc>
      </w:tr>
      <w:tr>
        <w:tc>
          <w:tcPr>
            <w:tcW w:type="dxa" w:w="1728"/>
          </w:tcPr>
          <w:p>
            <w:r>
              <w:t>Alternative Source Timeline</w:t>
            </w:r>
          </w:p>
        </w:tc>
        <w:tc>
          <w:tcPr>
            <w:tcW w:type="dxa" w:w="1728"/>
          </w:tcPr>
          <w:p>
            <w:r>
              <w:t>24-36 months</w:t>
            </w:r>
          </w:p>
        </w:tc>
        <w:tc>
          <w:tcPr>
            <w:tcW w:type="dxa" w:w="1728"/>
          </w:tcPr>
          <w:p>
            <w:r>
              <w:t>&gt;48 months</w:t>
            </w:r>
          </w:p>
        </w:tc>
        <w:tc>
          <w:tcPr>
            <w:tcW w:type="dxa" w:w="1728"/>
          </w:tcPr>
          <w:p>
            <w:r>
              <w:t>&gt;60 months</w:t>
            </w:r>
          </w:p>
        </w:tc>
        <w:tc>
          <w:tcPr>
            <w:tcW w:type="dxa" w:w="1728"/>
          </w:tcPr>
          <w:p>
            <w:r>
              <w:t>Lengthening</w:t>
            </w:r>
          </w:p>
        </w:tc>
      </w:tr>
      <w:tr>
        <w:tc>
          <w:tcPr>
            <w:tcW w:type="dxa" w:w="1728"/>
          </w:tcPr>
          <w:p>
            <w:r>
              <w:t>Supply Disruption Incidents</w:t>
            </w:r>
          </w:p>
        </w:tc>
        <w:tc>
          <w:tcPr>
            <w:tcW w:type="dxa" w:w="1728"/>
          </w:tcPr>
          <w:p>
            <w:r>
              <w:t>3/year</w:t>
            </w:r>
          </w:p>
        </w:tc>
        <w:tc>
          <w:tcPr>
            <w:tcW w:type="dxa" w:w="1728"/>
          </w:tcPr>
          <w:p>
            <w:r>
              <w:t>&gt;5/year</w:t>
            </w:r>
          </w:p>
        </w:tc>
        <w:tc>
          <w:tcPr>
            <w:tcW w:type="dxa" w:w="1728"/>
          </w:tcPr>
          <w:p>
            <w:r>
              <w:t>&gt;10/year</w:t>
            </w:r>
          </w:p>
        </w:tc>
        <w:tc>
          <w:tcPr>
            <w:tcW w:type="dxa" w:w="1728"/>
          </w:tcPr>
          <w:p>
            <w:r>
              <w:t>Stable</w:t>
            </w:r>
          </w:p>
        </w:tc>
      </w:tr>
    </w:tbl>
    <w:p>
      <w:pPr>
        <w:pStyle w:val="Heading2"/>
      </w:pPr>
      <w:r>
        <w:t>Category 5: Cyber Security Degradation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Current Value</w:t>
            </w:r>
          </w:p>
        </w:tc>
        <w:tc>
          <w:tcPr>
            <w:tcW w:type="dxa" w:w="1728"/>
          </w:tcPr>
          <w:p>
            <w:r>
              <w:rPr>
                <w:b/>
              </w:rPr>
              <w:t>Yellow Alert</w:t>
            </w:r>
          </w:p>
        </w:tc>
        <w:tc>
          <w:tcPr>
            <w:tcW w:type="dxa" w:w="1728"/>
          </w:tcPr>
          <w:p>
            <w:r>
              <w:rPr>
                <w:b/>
              </w:rPr>
              <w:t>Red Alert</w:t>
            </w:r>
          </w:p>
        </w:tc>
        <w:tc>
          <w:tcPr>
            <w:tcW w:type="dxa" w:w="1728"/>
          </w:tcPr>
          <w:p>
            <w:r>
              <w:rPr>
                <w:b/>
              </w:rPr>
              <w:t>Trend</w:t>
            </w:r>
          </w:p>
        </w:tc>
      </w:tr>
      <w:tr>
        <w:tc>
          <w:tcPr>
            <w:tcW w:type="dxa" w:w="1728"/>
          </w:tcPr>
          <w:p>
            <w:r>
              <w:t>Successful Attacks</w:t>
            </w:r>
          </w:p>
        </w:tc>
        <w:tc>
          <w:tcPr>
            <w:tcW w:type="dxa" w:w="1728"/>
          </w:tcPr>
          <w:p>
            <w:r>
              <w:t>234/year</w:t>
            </w:r>
          </w:p>
        </w:tc>
        <w:tc>
          <w:tcPr>
            <w:tcW w:type="dxa" w:w="1728"/>
          </w:tcPr>
          <w:p>
            <w:r>
              <w:t>&gt;300/year</w:t>
            </w:r>
          </w:p>
        </w:tc>
        <w:tc>
          <w:tcPr>
            <w:tcW w:type="dxa" w:w="1728"/>
          </w:tcPr>
          <w:p>
            <w:r>
              <w:t>&gt;500/year</w:t>
            </w:r>
          </w:p>
        </w:tc>
        <w:tc>
          <w:tcPr>
            <w:tcW w:type="dxa" w:w="1728"/>
          </w:tcPr>
          <w:p>
            <w:r>
              <w:t>Increasing</w:t>
            </w:r>
          </w:p>
        </w:tc>
      </w:tr>
      <w:tr>
        <w:tc>
          <w:tcPr>
            <w:tcW w:type="dxa" w:w="1728"/>
          </w:tcPr>
          <w:p>
            <w:r>
              <w:t>Critical Infrastructure Hits</w:t>
            </w:r>
          </w:p>
        </w:tc>
        <w:tc>
          <w:tcPr>
            <w:tcW w:type="dxa" w:w="1728"/>
          </w:tcPr>
          <w:p>
            <w:r>
              <w:t>12/year</w:t>
            </w:r>
          </w:p>
        </w:tc>
        <w:tc>
          <w:tcPr>
            <w:tcW w:type="dxa" w:w="1728"/>
          </w:tcPr>
          <w:p>
            <w:r>
              <w:t>&gt;20/year</w:t>
            </w:r>
          </w:p>
        </w:tc>
        <w:tc>
          <w:tcPr>
            <w:tcW w:type="dxa" w:w="1728"/>
          </w:tcPr>
          <w:p>
            <w:r>
              <w:t>&gt;35/year</w:t>
            </w:r>
          </w:p>
        </w:tc>
        <w:tc>
          <w:tcPr>
            <w:tcW w:type="dxa" w:w="1728"/>
          </w:tcPr>
          <w:p>
            <w:r>
              <w:t>Increasing</w:t>
            </w:r>
          </w:p>
        </w:tc>
      </w:tr>
      <w:tr>
        <w:tc>
          <w:tcPr>
            <w:tcW w:type="dxa" w:w="1728"/>
          </w:tcPr>
          <w:p>
            <w:r>
              <w:t>Attribution to China/Russia</w:t>
            </w:r>
          </w:p>
        </w:tc>
        <w:tc>
          <w:tcPr>
            <w:tcW w:type="dxa" w:w="1728"/>
          </w:tcPr>
          <w:p>
            <w:r>
              <w:t>45%</w:t>
            </w:r>
          </w:p>
        </w:tc>
        <w:tc>
          <w:tcPr>
            <w:tcW w:type="dxa" w:w="1728"/>
          </w:tcPr>
          <w:p>
            <w:r>
              <w:t>&gt;60%</w:t>
            </w:r>
          </w:p>
        </w:tc>
        <w:tc>
          <w:tcPr>
            <w:tcW w:type="dxa" w:w="1728"/>
          </w:tcPr>
          <w:p>
            <w:r>
              <w:t>&gt;75%</w:t>
            </w:r>
          </w:p>
        </w:tc>
        <w:tc>
          <w:tcPr>
            <w:tcW w:type="dxa" w:w="1728"/>
          </w:tcPr>
          <w:p>
            <w:r>
              <w:t>Increasing</w:t>
            </w:r>
          </w:p>
        </w:tc>
      </w:tr>
      <w:tr>
        <w:tc>
          <w:tcPr>
            <w:tcW w:type="dxa" w:w="1728"/>
          </w:tcPr>
          <w:p>
            <w:r>
              <w:t>Recovery Time</w:t>
            </w:r>
          </w:p>
        </w:tc>
        <w:tc>
          <w:tcPr>
            <w:tcW w:type="dxa" w:w="1728"/>
          </w:tcPr>
          <w:p>
            <w:r>
              <w:t>48 hours avg</w:t>
            </w:r>
          </w:p>
        </w:tc>
        <w:tc>
          <w:tcPr>
            <w:tcW w:type="dxa" w:w="1728"/>
          </w:tcPr>
          <w:p>
            <w:r>
              <w:t>&gt;72 hours</w:t>
            </w:r>
          </w:p>
        </w:tc>
        <w:tc>
          <w:tcPr>
            <w:tcW w:type="dxa" w:w="1728"/>
          </w:tcPr>
          <w:p>
            <w:r>
              <w:t>&gt;120 hours</w:t>
            </w:r>
          </w:p>
        </w:tc>
        <w:tc>
          <w:tcPr>
            <w:tcW w:type="dxa" w:w="1728"/>
          </w:tcPr>
          <w:p>
            <w:r>
              <w:t>Stable</w:t>
            </w:r>
          </w:p>
        </w:tc>
      </w:tr>
    </w:tbl>
    <w:p>
      <w:pPr>
        <w:pStyle w:val="Heading1"/>
      </w:pPr>
      <w:r>
        <w:t>Monitoring Framework Architecture</w:t>
      </w:r>
    </w:p>
    <w:p>
      <w:pPr>
        <w:pStyle w:val="Heading2"/>
      </w:pPr>
      <w:r>
        <w:t>Tier 1: Strategic Level (Monthly Review)</w:t>
      </w:r>
    </w:p>
    <w:p>
      <w:r/>
      <w:r>
        <w:rPr>
          <w:b/>
        </w:rPr>
        <w:t>Defense Posture Indicators:</w:t>
      </w:r>
      <w:r/>
    </w:p>
    <w:p>
      <w:pPr>
        <w:pStyle w:val="ListBullet"/>
      </w:pPr>
      <w:r>
        <w:t>NATO burden-sharing performance</w:t>
      </w:r>
    </w:p>
    <w:p>
      <w:pPr>
        <w:pStyle w:val="ListBullet"/>
      </w:pPr>
      <w:r>
        <w:t>Alliance relationship quality metrics</w:t>
      </w:r>
    </w:p>
    <w:p>
      <w:pPr>
        <w:pStyle w:val="ListBullet"/>
      </w:pPr>
      <w:r>
        <w:t>Defense budget execution rates</w:t>
      </w:r>
    </w:p>
    <w:p>
      <w:pPr>
        <w:pStyle w:val="ListBullet"/>
      </w:pPr>
      <w:r>
        <w:t>Capability development progress</w:t>
      </w:r>
    </w:p>
    <w:p>
      <w:r/>
      <w:r>
        <w:rPr>
          <w:b/>
        </w:rPr>
        <w:t>Technology Sovereignty Metrics:</w:t>
      </w:r>
      <w:r/>
    </w:p>
    <w:p>
      <w:pPr>
        <w:pStyle w:val="ListBullet"/>
      </w:pPr>
      <w:r>
        <w:t>Critical technology dependency ratios</w:t>
      </w:r>
    </w:p>
    <w:p>
      <w:pPr>
        <w:pStyle w:val="ListBullet"/>
      </w:pPr>
      <w:r>
        <w:t>Indigenous capability development</w:t>
      </w:r>
    </w:p>
    <w:p>
      <w:pPr>
        <w:pStyle w:val="ListBullet"/>
      </w:pPr>
      <w:r>
        <w:t>R&amp;D investment effectiveness</w:t>
      </w:r>
    </w:p>
    <w:p>
      <w:pPr>
        <w:pStyle w:val="ListBullet"/>
      </w:pPr>
      <w:r>
        <w:t>Patent portfolio strength</w:t>
      </w:r>
    </w:p>
    <w:p>
      <w:pPr>
        <w:pStyle w:val="Heading2"/>
      </w:pPr>
      <w:r>
        <w:t>Tier 2: Operational Level (Weekly Review)</w:t>
      </w:r>
    </w:p>
    <w:p>
      <w:r/>
      <w:r>
        <w:rPr>
          <w:b/>
        </w:rPr>
        <w:t>Chinese Activity Monitoring:</w:t>
      </w:r>
      <w:r/>
    </w:p>
    <w:p>
      <w:pPr>
        <w:pStyle w:val="ListBullet"/>
      </w:pPr>
      <w:r>
        <w:t>Academic collaboration tracking</w:t>
      </w:r>
    </w:p>
    <w:p>
      <w:pPr>
        <w:pStyle w:val="ListBullet"/>
      </w:pPr>
      <w:r>
        <w:t>Conference participation analysis</w:t>
      </w:r>
    </w:p>
    <w:p>
      <w:pPr>
        <w:pStyle w:val="ListBullet"/>
      </w:pPr>
      <w:r>
        <w:t>Investment attempt detection</w:t>
      </w:r>
    </w:p>
    <w:p>
      <w:pPr>
        <w:pStyle w:val="ListBullet"/>
      </w:pPr>
      <w:r>
        <w:t>Supply chain penetration assessment</w:t>
      </w:r>
    </w:p>
    <w:p>
      <w:r/>
      <w:r>
        <w:rPr>
          <w:b/>
        </w:rPr>
        <w:t>Cyber Threat Assessment:</w:t>
      </w:r>
      <w:r/>
    </w:p>
    <w:p>
      <w:pPr>
        <w:pStyle w:val="ListBullet"/>
      </w:pPr>
      <w:r>
        <w:t>Attack frequency and sophistication</w:t>
      </w:r>
    </w:p>
    <w:p>
      <w:pPr>
        <w:pStyle w:val="ListBullet"/>
      </w:pPr>
      <w:r>
        <w:t>Critical infrastructure targeting</w:t>
      </w:r>
    </w:p>
    <w:p>
      <w:pPr>
        <w:pStyle w:val="ListBullet"/>
      </w:pPr>
      <w:r>
        <w:t>Attribution confidence levels</w:t>
      </w:r>
    </w:p>
    <w:p>
      <w:pPr>
        <w:pStyle w:val="ListBullet"/>
      </w:pPr>
      <w:r>
        <w:t>Response effectiveness metrics</w:t>
      </w:r>
    </w:p>
    <w:p>
      <w:pPr>
        <w:pStyle w:val="Heading2"/>
      </w:pPr>
      <w:r>
        <w:t>Tier 3: Tactical Level (Daily Monitoring)</w:t>
      </w:r>
    </w:p>
    <w:p>
      <w:r/>
      <w:r>
        <w:rPr>
          <w:b/>
        </w:rPr>
        <w:t>Real-time Threat Detection:</w:t>
      </w:r>
      <w:r/>
    </w:p>
    <w:p>
      <w:pPr>
        <w:pStyle w:val="ListBullet"/>
      </w:pPr>
      <w:r>
        <w:t>Suspicious network activity</w:t>
      </w:r>
    </w:p>
    <w:p>
      <w:pPr>
        <w:pStyle w:val="ListBullet"/>
      </w:pPr>
      <w:r>
        <w:t>Unusual academic exchange requests</w:t>
      </w:r>
    </w:p>
    <w:p>
      <w:pPr>
        <w:pStyle w:val="ListBullet"/>
      </w:pPr>
      <w:r>
        <w:t>Investment screening applications</w:t>
      </w:r>
    </w:p>
    <w:p>
      <w:pPr>
        <w:pStyle w:val="ListBullet"/>
      </w:pPr>
      <w:r>
        <w:t>Conference intelligence collection</w:t>
      </w:r>
    </w:p>
    <w:p>
      <w:pPr>
        <w:pStyle w:val="Heading1"/>
      </w:pPr>
      <w:r>
        <w:t>Predictive Analytics Framework</w:t>
      </w:r>
    </w:p>
    <w:p>
      <w:pPr>
        <w:pStyle w:val="Heading2"/>
      </w:pPr>
      <w:r>
        <w:t>Machine Learning Applications</w:t>
      </w:r>
    </w:p>
    <w:p>
      <w:r/>
      <w:r>
        <w:rPr>
          <w:b/>
        </w:rPr>
        <w:t>Pattern Recognition Systems:</w:t>
      </w:r>
      <w:r/>
    </w:p>
    <w:p>
      <w:r>
        <w:t xml:space="preserve">1. </w:t>
      </w:r>
      <w:r>
        <w:rPr>
          <w:b/>
        </w:rPr>
        <w:t>Academic Collaboration Anomaly Detection:</w:t>
      </w:r>
      <w:r>
        <w:t xml:space="preserve"> Identifying unusual Chinese research partnerships</w:t>
      </w:r>
    </w:p>
    <w:p>
      <w:r>
        <w:t xml:space="preserve">2. </w:t>
      </w:r>
      <w:r>
        <w:rPr>
          <w:b/>
        </w:rPr>
        <w:t>Investment Flow Analysis:</w:t>
      </w:r>
      <w:r>
        <w:t xml:space="preserve"> Detecting third-country routing patterns</w:t>
      </w:r>
    </w:p>
    <w:p>
      <w:r>
        <w:t xml:space="preserve">3. </w:t>
      </w:r>
      <w:r>
        <w:rPr>
          <w:b/>
        </w:rPr>
        <w:t>Conference Intelligence:</w:t>
      </w:r>
      <w:r>
        <w:t xml:space="preserve"> Mapping systematic technology collection</w:t>
      </w:r>
    </w:p>
    <w:p>
      <w:r>
        <w:t xml:space="preserve">4. </w:t>
      </w:r>
      <w:r>
        <w:rPr>
          <w:b/>
        </w:rPr>
        <w:t>Supply Chain Risk Modeling:</w:t>
      </w:r>
      <w:r>
        <w:t xml:space="preserve"> Predicting dependency vulnerabilities</w:t>
      </w:r>
    </w:p>
    <w:p>
      <w:r/>
      <w:r>
        <w:rPr>
          <w:b/>
        </w:rPr>
        <w:t>Predictive Models:</w:t>
      </w:r>
      <w:r/>
    </w:p>
    <w:p>
      <w:r>
        <w:t xml:space="preserve">- </w:t>
      </w:r>
      <w:r>
        <w:rPr>
          <w:b/>
        </w:rPr>
        <w:t>Chinese Influence Trajectory:</w:t>
      </w:r>
      <w:r>
        <w:t xml:space="preserve"> 18-month forward projection</w:t>
      </w:r>
    </w:p>
    <w:p>
      <w:r>
        <w:t xml:space="preserve">- </w:t>
      </w:r>
      <w:r>
        <w:rPr>
          <w:b/>
        </w:rPr>
        <w:t>Technology Gap Evolution:</w:t>
      </w:r>
      <w:r>
        <w:t xml:space="preserve"> 5-year capability forecasting</w:t>
      </w:r>
    </w:p>
    <w:p>
      <w:r>
        <w:t xml:space="preserve">- </w:t>
      </w:r>
      <w:r>
        <w:rPr>
          <w:b/>
        </w:rPr>
        <w:t>Alliance Stress Modeling:</w:t>
      </w:r>
      <w:r>
        <w:t xml:space="preserve"> NATO relationship sustainability</w:t>
      </w:r>
    </w:p>
    <w:p>
      <w:r>
        <w:t xml:space="preserve">- </w:t>
      </w:r>
      <w:r>
        <w:rPr>
          <w:b/>
        </w:rPr>
        <w:t>Crisis Scenario Simulation:</w:t>
      </w:r>
      <w:r>
        <w:t xml:space="preserve"> Response requirement planning</w:t>
      </w:r>
    </w:p>
    <w:p>
      <w:pPr>
        <w:pStyle w:val="Heading2"/>
      </w:pPr>
      <w:r>
        <w:t>Data Integration Requirements</w:t>
      </w:r>
    </w:p>
    <w:p>
      <w:r/>
      <w:r>
        <w:rPr>
          <w:b/>
        </w:rPr>
        <w:t>Primary Sources:</w:t>
      </w:r>
      <w:r/>
    </w:p>
    <w:p>
      <w:pPr>
        <w:pStyle w:val="ListBullet"/>
      </w:pPr>
      <w:r>
        <w:t>Government budget databases</w:t>
      </w:r>
    </w:p>
    <w:p>
      <w:pPr>
        <w:pStyle w:val="ListBullet"/>
      </w:pPr>
      <w:r>
        <w:t>Academic publication tracking</w:t>
      </w:r>
    </w:p>
    <w:p>
      <w:pPr>
        <w:pStyle w:val="ListBullet"/>
      </w:pPr>
      <w:r>
        <w:t>Patent filing systems</w:t>
      </w:r>
    </w:p>
    <w:p>
      <w:pPr>
        <w:pStyle w:val="ListBullet"/>
      </w:pPr>
      <w:r>
        <w:t>Import/export statistics</w:t>
      </w:r>
    </w:p>
    <w:p>
      <w:r/>
      <w:r>
        <w:rPr>
          <w:b/>
        </w:rPr>
        <w:t>Secondary Sources:</w:t>
      </w:r>
      <w:r/>
    </w:p>
    <w:p>
      <w:pPr>
        <w:pStyle w:val="ListBullet"/>
      </w:pPr>
      <w:r>
        <w:t>Conference attendance records</w:t>
      </w:r>
    </w:p>
    <w:p>
      <w:pPr>
        <w:pStyle w:val="ListBullet"/>
      </w:pPr>
      <w:r>
        <w:t>Investment screening databases</w:t>
      </w:r>
    </w:p>
    <w:p>
      <w:pPr>
        <w:pStyle w:val="ListBullet"/>
      </w:pPr>
      <w:r>
        <w:t>Cyber incident reporting</w:t>
      </w:r>
    </w:p>
    <w:p>
      <w:pPr>
        <w:pStyle w:val="ListBullet"/>
      </w:pPr>
      <w:r>
        <w:t>Intelligence community assessments</w:t>
      </w:r>
    </w:p>
    <w:p>
      <w:pPr>
        <w:pStyle w:val="Heading1"/>
      </w:pPr>
      <w:r>
        <w:t>Alert Escalation Protocols</w:t>
      </w:r>
    </w:p>
    <w:p>
      <w:pPr>
        <w:pStyle w:val="Heading2"/>
      </w:pPr>
      <w:r>
        <w:t>Yellow Alert Triggers</w:t>
      </w:r>
    </w:p>
    <w:p>
      <w:r/>
      <w:r>
        <w:rPr>
          <w:b/>
        </w:rPr>
        <w:t>Automatic Escalation:</w:t>
      </w:r>
      <w:r/>
    </w:p>
    <w:p>
      <w:pPr>
        <w:pStyle w:val="ListBullet"/>
      </w:pPr>
      <w:r>
        <w:t>Any Tier 1 indicator crosses yellow threshold</w:t>
      </w:r>
    </w:p>
    <w:p>
      <w:pPr>
        <w:pStyle w:val="ListBullet"/>
      </w:pPr>
      <w:r>
        <w:t>Multiple Tier 2 indicators show concerning trends</w:t>
      </w:r>
    </w:p>
    <w:p>
      <w:pPr>
        <w:pStyle w:val="ListBullet"/>
      </w:pPr>
      <w:r>
        <w:t>Confirmed Chinese circumvention of security measures</w:t>
      </w:r>
    </w:p>
    <w:p>
      <w:r/>
      <w:r>
        <w:rPr>
          <w:b/>
        </w:rPr>
        <w:t>Response Requirements:</w:t>
      </w:r>
      <w:r/>
    </w:p>
    <w:p>
      <w:pPr>
        <w:pStyle w:val="ListBullet"/>
      </w:pPr>
      <w:r>
        <w:t>Enhanced monitoring activation</w:t>
      </w:r>
    </w:p>
    <w:p>
      <w:pPr>
        <w:pStyle w:val="ListBullet"/>
      </w:pPr>
      <w:r>
        <w:t>Stakeholder notification protocol</w:t>
      </w:r>
    </w:p>
    <w:p>
      <w:pPr>
        <w:pStyle w:val="ListBullet"/>
      </w:pPr>
      <w:r>
        <w:t>Preliminary countermeasure preparation</w:t>
      </w:r>
    </w:p>
    <w:p>
      <w:pPr>
        <w:pStyle w:val="ListBullet"/>
      </w:pPr>
      <w:r>
        <w:t>Allied intelligence sharing</w:t>
      </w:r>
    </w:p>
    <w:p>
      <w:pPr>
        <w:pStyle w:val="Heading2"/>
      </w:pPr>
      <w:r>
        <w:t>Red Alert Triggers</w:t>
      </w:r>
    </w:p>
    <w:p>
      <w:r/>
      <w:r>
        <w:rPr>
          <w:b/>
        </w:rPr>
        <w:t>Immediate Escalation:</w:t>
      </w:r>
      <w:r/>
    </w:p>
    <w:p>
      <w:pPr>
        <w:pStyle w:val="ListBullet"/>
      </w:pPr>
      <w:r>
        <w:t>Critical assumption failure confirmed</w:t>
      </w:r>
    </w:p>
    <w:p>
      <w:pPr>
        <w:pStyle w:val="ListBullet"/>
      </w:pPr>
      <w:r>
        <w:t>Red threshold breach in defense/technology indicators</w:t>
      </w:r>
    </w:p>
    <w:p>
      <w:pPr>
        <w:pStyle w:val="ListBullet"/>
      </w:pPr>
      <w:r>
        <w:t>Major security incident with Chinese attribution</w:t>
      </w:r>
    </w:p>
    <w:p>
      <w:r/>
      <w:r>
        <w:rPr>
          <w:b/>
        </w:rPr>
        <w:t>Response Requirements:</w:t>
      </w:r>
      <w:r/>
    </w:p>
    <w:p>
      <w:pPr>
        <w:pStyle w:val="ListBullet"/>
      </w:pPr>
      <w:r>
        <w:t>Crisis management team activation</w:t>
      </w:r>
    </w:p>
    <w:p>
      <w:pPr>
        <w:pStyle w:val="ListBullet"/>
      </w:pPr>
      <w:r>
        <w:t>Emergency countermeasure implementation</w:t>
      </w:r>
    </w:p>
    <w:p>
      <w:pPr>
        <w:pStyle w:val="ListBullet"/>
      </w:pPr>
      <w:r>
        <w:t>Prime Minister notification</w:t>
      </w:r>
    </w:p>
    <w:p>
      <w:pPr>
        <w:pStyle w:val="ListBullet"/>
      </w:pPr>
      <w:r>
        <w:t>NATO/EU consultation initiation</w:t>
      </w:r>
    </w:p>
    <w:p>
      <w:pPr>
        <w:pStyle w:val="Heading1"/>
      </w:pPr>
      <w:r>
        <w:t>Countermeasure Integration</w:t>
      </w:r>
    </w:p>
    <w:p>
      <w:pPr>
        <w:pStyle w:val="Heading2"/>
      </w:pPr>
      <w:r>
        <w:t>Graduated Response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Threat Level</w:t>
            </w:r>
          </w:p>
        </w:tc>
        <w:tc>
          <w:tcPr>
            <w:tcW w:type="dxa" w:w="1728"/>
          </w:tcPr>
          <w:p>
            <w:r>
              <w:rPr>
                <w:b/>
              </w:rPr>
              <w:t>Diplomatic</w:t>
            </w:r>
          </w:p>
        </w:tc>
        <w:tc>
          <w:tcPr>
            <w:tcW w:type="dxa" w:w="1728"/>
          </w:tcPr>
          <w:p>
            <w:r>
              <w:rPr>
                <w:b/>
              </w:rPr>
              <w:t>Economic</w:t>
            </w:r>
          </w:p>
        </w:tc>
        <w:tc>
          <w:tcPr>
            <w:tcW w:type="dxa" w:w="1728"/>
          </w:tcPr>
          <w:p>
            <w:r>
              <w:rPr>
                <w:b/>
              </w:rPr>
              <w:t>Security</w:t>
            </w:r>
          </w:p>
        </w:tc>
        <w:tc>
          <w:tcPr>
            <w:tcW w:type="dxa" w:w="1728"/>
          </w:tcPr>
          <w:p>
            <w:r>
              <w:rPr>
                <w:b/>
              </w:rPr>
              <w:t>Military</w:t>
            </w:r>
          </w:p>
        </w:tc>
      </w:tr>
      <w:tr>
        <w:tc>
          <w:tcPr>
            <w:tcW w:type="dxa" w:w="1728"/>
          </w:tcPr>
          <w:p>
            <w:r>
              <w:t>Green</w:t>
            </w:r>
          </w:p>
        </w:tc>
        <w:tc>
          <w:tcPr>
            <w:tcW w:type="dxa" w:w="1728"/>
          </w:tcPr>
          <w:p>
            <w:r>
              <w:t>Normal engagement</w:t>
            </w:r>
          </w:p>
        </w:tc>
        <w:tc>
          <w:tcPr>
            <w:tcW w:type="dxa" w:w="1728"/>
          </w:tcPr>
          <w:p>
            <w:r>
              <w:t>Open trade</w:t>
            </w:r>
          </w:p>
        </w:tc>
        <w:tc>
          <w:tcPr>
            <w:tcW w:type="dxa" w:w="1728"/>
          </w:tcPr>
          <w:p>
            <w:r>
              <w:t>Standard measures</w:t>
            </w:r>
          </w:p>
        </w:tc>
        <w:tc>
          <w:tcPr>
            <w:tcW w:type="dxa" w:w="1728"/>
          </w:tcPr>
          <w:p>
            <w:r>
              <w:t>Cooperation</w:t>
            </w:r>
          </w:p>
        </w:tc>
      </w:tr>
      <w:tr>
        <w:tc>
          <w:tcPr>
            <w:tcW w:type="dxa" w:w="1728"/>
          </w:tcPr>
          <w:p>
            <w:r>
              <w:t>Yellow</w:t>
            </w:r>
          </w:p>
        </w:tc>
        <w:tc>
          <w:tcPr>
            <w:tcW w:type="dxa" w:w="1728"/>
          </w:tcPr>
          <w:p>
            <w:r>
              <w:t>Increased consultation</w:t>
            </w:r>
          </w:p>
        </w:tc>
        <w:tc>
          <w:tcPr>
            <w:tcW w:type="dxa" w:w="1728"/>
          </w:tcPr>
          <w:p>
            <w:r>
              <w:t>Enhanced screening</w:t>
            </w:r>
          </w:p>
        </w:tc>
        <w:tc>
          <w:tcPr>
            <w:tcW w:type="dxa" w:w="1728"/>
          </w:tcPr>
          <w:p>
            <w:r>
              <w:t>Additional monitoring</w:t>
            </w:r>
          </w:p>
        </w:tc>
        <w:tc>
          <w:tcPr>
            <w:tcW w:type="dxa" w:w="1728"/>
          </w:tcPr>
          <w:p>
            <w:r>
              <w:t>Readiness increase</w:t>
            </w:r>
          </w:p>
        </w:tc>
      </w:tr>
      <w:tr>
        <w:tc>
          <w:tcPr>
            <w:tcW w:type="dxa" w:w="1728"/>
          </w:tcPr>
          <w:p>
            <w:r>
              <w:t>Orange</w:t>
            </w:r>
          </w:p>
        </w:tc>
        <w:tc>
          <w:tcPr>
            <w:tcW w:type="dxa" w:w="1728"/>
          </w:tcPr>
          <w:p>
            <w:r>
              <w:t>Formal concerns</w:t>
            </w:r>
          </w:p>
        </w:tc>
        <w:tc>
          <w:tcPr>
            <w:tcW w:type="dxa" w:w="1728"/>
          </w:tcPr>
          <w:p>
            <w:r>
              <w:t>Investment restrictions</w:t>
            </w:r>
          </w:p>
        </w:tc>
        <w:tc>
          <w:tcPr>
            <w:tcW w:type="dxa" w:w="1728"/>
          </w:tcPr>
          <w:p>
            <w:r>
              <w:t>Active countermeasures</w:t>
            </w:r>
          </w:p>
        </w:tc>
        <w:tc>
          <w:tcPr>
            <w:tcW w:type="dxa" w:w="1728"/>
          </w:tcPr>
          <w:p>
            <w:r>
              <w:t>Capability enhancement</w:t>
            </w:r>
          </w:p>
        </w:tc>
      </w:tr>
      <w:tr>
        <w:tc>
          <w:tcPr>
            <w:tcW w:type="dxa" w:w="1728"/>
          </w:tcPr>
          <w:p>
            <w:r>
              <w:t>Red</w:t>
            </w:r>
          </w:p>
        </w:tc>
        <w:tc>
          <w:tcPr>
            <w:tcW w:type="dxa" w:w="1728"/>
          </w:tcPr>
          <w:p>
            <w:r>
              <w:t>Crisis diplomacy</w:t>
            </w:r>
          </w:p>
        </w:tc>
        <w:tc>
          <w:tcPr>
            <w:tcW w:type="dxa" w:w="1728"/>
          </w:tcPr>
          <w:p>
            <w:r>
              <w:t>Economic sanctions</w:t>
            </w:r>
          </w:p>
        </w:tc>
        <w:tc>
          <w:tcPr>
            <w:tcW w:type="dxa" w:w="1728"/>
          </w:tcPr>
          <w:p>
            <w:r>
              <w:t>Emergency measures</w:t>
            </w:r>
          </w:p>
        </w:tc>
        <w:tc>
          <w:tcPr>
            <w:tcW w:type="dxa" w:w="1728"/>
          </w:tcPr>
          <w:p>
            <w:r>
              <w:t>Defense posture change</w:t>
            </w:r>
          </w:p>
        </w:tc>
      </w:tr>
    </w:tbl>
    <w:p>
      <w:pPr>
        <w:pStyle w:val="Heading2"/>
      </w:pPr>
      <w:r>
        <w:t>Automated Response Capabilities</w:t>
      </w:r>
    </w:p>
    <w:p>
      <w:r/>
      <w:r>
        <w:rPr>
          <w:b/>
        </w:rPr>
        <w:t>Trigger-Based Actions:</w:t>
      </w:r>
      <w:r/>
    </w:p>
    <w:p>
      <w:r>
        <w:t xml:space="preserve">1. </w:t>
      </w:r>
      <w:r>
        <w:rPr>
          <w:b/>
        </w:rPr>
        <w:t>Investment Screening:</w:t>
      </w:r>
      <w:r>
        <w:t xml:space="preserve"> Automatic enhanced review for concerning countries</w:t>
      </w:r>
    </w:p>
    <w:p>
      <w:r>
        <w:t xml:space="preserve">2. </w:t>
      </w:r>
      <w:r>
        <w:rPr>
          <w:b/>
        </w:rPr>
        <w:t>Academic Monitoring:</w:t>
      </w:r>
      <w:r>
        <w:t xml:space="preserve"> Increased oversight of sensitive collaborations</w:t>
      </w:r>
    </w:p>
    <w:p>
      <w:r>
        <w:t xml:space="preserve">3. </w:t>
      </w:r>
      <w:r>
        <w:rPr>
          <w:b/>
        </w:rPr>
        <w:t>Conference Intelligence:</w:t>
      </w:r>
      <w:r>
        <w:t xml:space="preserve"> Systematic collection activation</w:t>
      </w:r>
    </w:p>
    <w:p>
      <w:r>
        <w:t xml:space="preserve">4. </w:t>
      </w:r>
      <w:r>
        <w:rPr>
          <w:b/>
        </w:rPr>
        <w:t>Supply Chain Security:</w:t>
      </w:r>
      <w:r>
        <w:t xml:space="preserve"> Alternative sourcing protocol initiation</w:t>
      </w:r>
    </w:p>
    <w:p>
      <w:pPr>
        <w:pStyle w:val="Heading1"/>
      </w:pPr>
      <w:r>
        <w:t>Value of Information Assessment</w:t>
      </w:r>
    </w:p>
    <w:p>
      <w:pPr>
        <w:pStyle w:val="Heading2"/>
      </w:pPr>
      <w:r>
        <w:t>Priority Intelligence Gaps</w:t>
      </w:r>
    </w:p>
    <w:p>
      <w:r/>
      <w:r>
        <w:rPr>
          <w:b/>
        </w:rPr>
        <w:t>Highest Value Targets:</w:t>
      </w:r>
      <w:r/>
    </w:p>
    <w:p>
      <w:r>
        <w:t xml:space="preserve">1. </w:t>
      </w:r>
      <w:r>
        <w:rPr>
          <w:b/>
        </w:rPr>
        <w:t>Chinese Researcher Census:</w:t>
      </w:r>
      <w:r>
        <w:t xml:space="preserve"> Quantify academic penetration (Value: CRITICAL)</w:t>
      </w:r>
    </w:p>
    <w:p>
      <w:r>
        <w:t xml:space="preserve">2. </w:t>
      </w:r>
      <w:r>
        <w:rPr>
          <w:b/>
        </w:rPr>
        <w:t>Investment Beneficial Ownership:</w:t>
      </w:r>
      <w:r>
        <w:t xml:space="preserve"> Map true control structures (Value: HIGH)</w:t>
      </w:r>
    </w:p>
    <w:p>
      <w:r>
        <w:t xml:space="preserve">3. </w:t>
      </w:r>
      <w:r>
        <w:rPr>
          <w:b/>
        </w:rPr>
        <w:t>Conference Intelligence:</w:t>
      </w:r>
      <w:r>
        <w:t xml:space="preserve"> Systematic technology disclosure tracking (Value: HIGH)</w:t>
      </w:r>
    </w:p>
    <w:p>
      <w:r>
        <w:t xml:space="preserve">4. </w:t>
      </w:r>
      <w:r>
        <w:rPr>
          <w:b/>
        </w:rPr>
        <w:t>Supply Chain Mapping:</w:t>
      </w:r>
      <w:r>
        <w:t xml:space="preserve"> Complete dependency visibility (Value: MEDIUM-HIGH)</w:t>
      </w:r>
    </w:p>
    <w:p>
      <w:r/>
      <w:r>
        <w:rPr>
          <w:b/>
        </w:rPr>
        <w:t>Collection Priorities:</w:t>
      </w:r>
      <w:r/>
    </w:p>
    <w:p>
      <w:pPr>
        <w:pStyle w:val="ListBullet"/>
      </w:pPr>
      <w:r>
        <w:t>Academic exchange program participation</w:t>
      </w:r>
    </w:p>
    <w:p>
      <w:pPr>
        <w:pStyle w:val="ListBullet"/>
      </w:pPr>
      <w:r>
        <w:t>Venture capital limited partner structures</w:t>
      </w:r>
    </w:p>
    <w:p>
      <w:pPr>
        <w:pStyle w:val="ListBullet"/>
      </w:pPr>
      <w:r>
        <w:t>Conference side meeting arrangements</w:t>
      </w:r>
    </w:p>
    <w:p>
      <w:pPr>
        <w:pStyle w:val="ListBullet"/>
      </w:pPr>
      <w:r>
        <w:t>Component-level supplier relationships</w:t>
      </w:r>
    </w:p>
    <w:p>
      <w:pPr>
        <w:pStyle w:val="Heading1"/>
      </w:pPr>
      <w:r>
        <w:t>Implementation Roadmap</w:t>
      </w:r>
    </w:p>
    <w:p>
      <w:pPr>
        <w:pStyle w:val="Heading2"/>
      </w:pPr>
      <w:r>
        <w:t>Phase 1: Foundation (0-6 months)</w:t>
      </w:r>
    </w:p>
    <w:p>
      <w:pPr>
        <w:pStyle w:val="ListBullet"/>
      </w:pPr>
      <w:r>
        <w:t>Deploy basic indicator monitoring systems</w:t>
      </w:r>
    </w:p>
    <w:p>
      <w:pPr>
        <w:pStyle w:val="ListBullet"/>
      </w:pPr>
      <w:r>
        <w:t>Establish data collection protocols</w:t>
      </w:r>
    </w:p>
    <w:p>
      <w:pPr>
        <w:pStyle w:val="ListBullet"/>
      </w:pPr>
      <w:r>
        <w:t>Train analytical personnel</w:t>
      </w:r>
    </w:p>
    <w:p>
      <w:pPr>
        <w:pStyle w:val="ListBullet"/>
      </w:pPr>
      <w:r>
        <w:t>Create alert dissemination networks</w:t>
      </w:r>
    </w:p>
    <w:p>
      <w:pPr>
        <w:pStyle w:val="Heading2"/>
      </w:pPr>
      <w:r>
        <w:t>Phase 2: Enhancement (6-18 months)</w:t>
      </w:r>
    </w:p>
    <w:p>
      <w:pPr>
        <w:pStyle w:val="ListBullet"/>
      </w:pPr>
      <w:r>
        <w:t>Implement predictive analytics capabilities</w:t>
      </w:r>
    </w:p>
    <w:p>
      <w:pPr>
        <w:pStyle w:val="ListBullet"/>
      </w:pPr>
      <w:r>
        <w:t>Integrate machine learning systems</w:t>
      </w:r>
    </w:p>
    <w:p>
      <w:pPr>
        <w:pStyle w:val="ListBullet"/>
      </w:pPr>
      <w:r>
        <w:t>Develop automated response protocols</w:t>
      </w:r>
    </w:p>
    <w:p>
      <w:pPr>
        <w:pStyle w:val="ListBullet"/>
      </w:pPr>
      <w:r>
        <w:t>Establish allied information sharing</w:t>
      </w:r>
    </w:p>
    <w:p>
      <w:pPr>
        <w:pStyle w:val="Heading2"/>
      </w:pPr>
      <w:r>
        <w:t>Phase 3: Optimization (18+ months)</w:t>
      </w:r>
    </w:p>
    <w:p>
      <w:pPr>
        <w:pStyle w:val="ListBullet"/>
      </w:pPr>
      <w:r>
        <w:t>Refine indicator thresholds based on experience</w:t>
      </w:r>
    </w:p>
    <w:p>
      <w:pPr>
        <w:pStyle w:val="ListBullet"/>
      </w:pPr>
      <w:r>
        <w:t>Enhance prediction accuracy</w:t>
      </w:r>
    </w:p>
    <w:p>
      <w:pPr>
        <w:pStyle w:val="ListBullet"/>
      </w:pPr>
      <w:r>
        <w:t>Expand monitoring scope</w:t>
      </w:r>
    </w:p>
    <w:p>
      <w:pPr>
        <w:pStyle w:val="ListBullet"/>
      </w:pPr>
      <w:r>
        <w:t>Integrate with NATO/EU systems</w:t>
      </w:r>
    </w:p>
    <w:p>
      <w:pPr>
        <w:pStyle w:val="Heading1"/>
      </w:pPr>
      <w:r>
        <w:t>Quality Assessment</w:t>
      </w:r>
    </w:p>
    <w:p>
      <w:pPr>
        <w:pStyle w:val="Heading2"/>
      </w:pPr>
      <w:r>
        <w:t>Indicator Validation</w:t>
      </w:r>
    </w:p>
    <w:p>
      <w:r/>
      <w:r>
        <w:rPr>
          <w:b/>
        </w:rPr>
        <w:t>Reliability Assessment:</w:t>
      </w:r>
      <w:r/>
    </w:p>
    <w:p>
      <w:r>
        <w:t xml:space="preserve">- </w:t>
      </w:r>
      <w:r>
        <w:rPr>
          <w:b/>
        </w:rPr>
        <w:t>Defense Metrics:</w:t>
      </w:r>
      <w:r>
        <w:t xml:space="preserve"> HIGH (official data sources)</w:t>
      </w:r>
    </w:p>
    <w:p>
      <w:r>
        <w:t xml:space="preserve">- </w:t>
      </w:r>
      <w:r>
        <w:rPr>
          <w:b/>
        </w:rPr>
        <w:t>Technology Indicators:</w:t>
      </w:r>
      <w:r>
        <w:t xml:space="preserve"> MEDIUM-HIGH (some estimation)</w:t>
      </w:r>
    </w:p>
    <w:p>
      <w:r>
        <w:t xml:space="preserve">- </w:t>
      </w:r>
      <w:r>
        <w:rPr>
          <w:b/>
        </w:rPr>
        <w:t>Chinese Activity:</w:t>
      </w:r>
      <w:r>
        <w:t xml:space="preserve"> MEDIUM (limited visibility)</w:t>
      </w:r>
    </w:p>
    <w:p>
      <w:r>
        <w:t xml:space="preserve">- </w:t>
      </w:r>
      <w:r>
        <w:rPr>
          <w:b/>
        </w:rPr>
        <w:t>Cyber Metrics:</w:t>
      </w:r>
      <w:r>
        <w:t xml:space="preserve"> MEDIUM (reporting inconsistencies)</w:t>
      </w:r>
    </w:p>
    <w:p>
      <w:r/>
      <w:r>
        <w:rPr>
          <w:b/>
        </w:rPr>
        <w:t>Predictive Accuracy:</w:t>
      </w:r>
      <w:r/>
    </w:p>
    <w:p>
      <w:r>
        <w:t xml:space="preserve">- </w:t>
      </w:r>
      <w:r>
        <w:rPr>
          <w:b/>
        </w:rPr>
        <w:t>Short-term (6 months):</w:t>
      </w:r>
      <w:r>
        <w:t xml:space="preserve"> Expected 75-85% accuracy</w:t>
      </w:r>
    </w:p>
    <w:p>
      <w:r>
        <w:t xml:space="preserve">- </w:t>
      </w:r>
      <w:r>
        <w:rPr>
          <w:b/>
        </w:rPr>
        <w:t>Medium-term (18 months):</w:t>
      </w:r>
      <w:r>
        <w:t xml:space="preserve"> Expected 60-75% accuracy</w:t>
      </w:r>
    </w:p>
    <w:p>
      <w:r>
        <w:t xml:space="preserve">- </w:t>
      </w:r>
      <w:r>
        <w:rPr>
          <w:b/>
        </w:rPr>
        <w:t>Long-term (5 years):</w:t>
      </w:r>
      <w:r>
        <w:t xml:space="preserve"> Expected 40-60% accuracy</w:t>
      </w:r>
    </w:p>
    <w:p>
      <w:pPr>
        <w:pStyle w:val="Heading1"/>
      </w:pPr>
      <w:r>
        <w:t>Conclusion</w:t>
      </w:r>
    </w:p>
    <w:p>
      <w:r>
        <w:t>The early warning system provides Italy with unprecedented capability to anticipate and respond to technology security threats. However, critical intelligence gaps in Chinese researcher presence and investment beneficial ownership limit current effectiveness. Success depends on sustained political commitment to monitoring and response capabilities.</w:t>
      </w:r>
    </w:p>
    <w:p>
      <w:r/>
      <w:r>
        <w:rPr>
          <w:b/>
        </w:rPr>
        <w:t>Critical Warning Findings:</w:t>
      </w:r>
      <w:r/>
    </w:p>
    <w:p>
      <w:r>
        <w:t xml:space="preserve">1. </w:t>
      </w:r>
      <w:r>
        <w:rPr>
          <w:b/>
        </w:rPr>
        <w:t>Assumption Failure Risks:</w:t>
      </w:r>
      <w:r>
        <w:t xml:space="preserve"> 20-40% probability of key assumptions proving wrong</w:t>
      </w:r>
    </w:p>
    <w:p>
      <w:r>
        <w:t xml:space="preserve">2. </w:t>
      </w:r>
      <w:r>
        <w:rPr>
          <w:b/>
        </w:rPr>
        <w:t>Monitoring Gaps:</w:t>
      </w:r>
      <w:r>
        <w:t xml:space="preserve"> Critical indicators lack reliable data sources</w:t>
      </w:r>
    </w:p>
    <w:p>
      <w:r>
        <w:t xml:space="preserve">3. </w:t>
      </w:r>
      <w:r>
        <w:rPr>
          <w:b/>
        </w:rPr>
        <w:t>Response Protocols:</w:t>
      </w:r>
      <w:r>
        <w:t xml:space="preserve"> Automated systems needed for timely intervention</w:t>
      </w:r>
    </w:p>
    <w:p>
      <w:r>
        <w:t xml:space="preserve">4. </w:t>
      </w:r>
      <w:r>
        <w:rPr>
          <w:b/>
        </w:rPr>
        <w:t>Integration Requirements:</w:t>
      </w:r>
      <w:r>
        <w:t xml:space="preserve"> Allied coordination essential for effectiveness</w:t>
      </w:r>
    </w:p>
    <w:p>
      <w:r/>
      <w:r>
        <w:rPr>
          <w:b/>
        </w:rPr>
        <w:t>Priority Implementation Actions:</w:t>
      </w:r>
      <w:r/>
    </w:p>
    <w:p>
      <w:pPr>
        <w:pStyle w:val="ListNumber"/>
      </w:pPr>
      <w:r>
        <w:t>Deploy basic monitoring systems within 90 days</w:t>
      </w:r>
    </w:p>
    <w:p>
      <w:pPr>
        <w:pStyle w:val="ListNumber"/>
      </w:pPr>
      <w:r>
        <w:t>Close critical data gaps by Q2 2025</w:t>
      </w:r>
    </w:p>
    <w:p>
      <w:pPr>
        <w:pStyle w:val="ListNumber"/>
      </w:pPr>
      <w:r>
        <w:t>Establish predictive analytics by Q3 2025</w:t>
      </w:r>
    </w:p>
    <w:p>
      <w:pPr>
        <w:pStyle w:val="ListNumber"/>
      </w:pPr>
      <w:r>
        <w:t>Achieve full operational capability within 18 months</w:t>
      </w:r>
    </w:p>
    <w:p>
      <w:r>
        <w:t>Early intervention based on these indicators could prevent strategic technology losses and preserve Italy's role as a reliable NATO/EU partner in critical technology domains.</w:t>
      </w:r>
    </w:p>
    <w:p>
      <w:pPr>
        <w:pStyle w:val="ListBullet"/>
      </w:pPr>
    </w:p>
    <w:p>
      <w:pPr>
        <w:pStyle w:val="ListBullet"/>
      </w:pPr>
      <w:r>
        <w:t>Next Phase: Foresight Analysis (Phase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