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Phase 11: Foresight &amp; Adversarial Analysis - Italy Technology Security Assessment</w:t>
      </w:r>
    </w:p>
    <w:p>
      <w:r/>
      <w:r>
        <w:rPr>
          <w:b/>
        </w:rPr>
        <w:t>Generated:</w:t>
      </w:r>
      <w:r>
        <w:t xml:space="preserve"> 2025-09-16</w:t>
      </w:r>
    </w:p>
    <w:p>
      <w:r/>
      <w:r>
        <w:rPr>
          <w:b/>
        </w:rPr>
        <w:t>Sources:</w:t>
      </w:r>
      <w:r>
        <w:t xml:space="preserve"> ChatGPT Phase Documents + Claude Analysis</w:t>
      </w:r>
    </w:p>
    <w:p>
      <w:r/>
      <w:r>
        <w:rPr>
          <w:b/>
        </w:rPr>
        <w:t>Classification:</w:t>
      </w:r>
      <w:r>
        <w:t xml:space="preserve"> OSINT Synthesis</w:t>
      </w:r>
    </w:p>
    <w:p>
      <w:pPr>
        <w:pStyle w:val="Heading1"/>
      </w:pPr>
      <w:r>
        <w:t>Executive Summary</w:t>
      </w:r>
    </w:p>
    <w:p>
      <w:r>
        <w:t>Phase 11 projects three primary scenarios for Italy's technology trajectory through 2033: Gradual Modernization (40-60% probability), Strategic Awakening (20-30%), and Dependency Spiral (15-25%). The analysis reveals critical decision points in 2025-2026 that will determine whether Italy maintains technological sovereignty or becomes increasingly dependent on adversary-controlled systems.</w:t>
      </w:r>
    </w:p>
    <w:p>
      <w:pPr>
        <w:pStyle w:val="Heading1"/>
      </w:pPr>
      <w:r>
        <w:t>Scenario Analysis Framework</w:t>
      </w:r>
    </w:p>
    <w:p>
      <w:pPr>
        <w:pStyle w:val="Heading2"/>
      </w:pPr>
      <w:r>
        <w:t>Scenario 1: Gradual Modernization (Baseline) - 40-60% Probability</w:t>
      </w:r>
    </w:p>
    <w:p>
      <w:r/>
      <w:r>
        <w:rPr>
          <w:b/>
        </w:rPr>
        <w:t>Narrative:</w:t>
      </w:r>
      <w:r>
        <w:t xml:space="preserve"> Italy maintains current trajectory with slow defense spending increases reaching 1.6% by 2028. PNRR funds drive limited innovation but structural reforms lag. NATO commitments partially met through specialization. Technology sovereignty remains mixed.</w:t>
      </w:r>
    </w:p>
    <w:p>
      <w:r/>
      <w:r>
        <w:rPr>
          <w:b/>
        </w:rPr>
        <w:t>Key Indicators by Timeline:</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2025</w:t>
            </w:r>
          </w:p>
        </w:tc>
        <w:tc>
          <w:tcPr>
            <w:tcW w:type="dxa" w:w="2160"/>
          </w:tcPr>
          <w:p>
            <w:r>
              <w:rPr>
                <w:b/>
              </w:rPr>
              <w:t>2028</w:t>
            </w:r>
          </w:p>
        </w:tc>
        <w:tc>
          <w:tcPr>
            <w:tcW w:type="dxa" w:w="2160"/>
          </w:tcPr>
          <w:p>
            <w:r>
              <w:rPr>
                <w:b/>
              </w:rPr>
              <w:t>2033</w:t>
            </w:r>
          </w:p>
        </w:tc>
      </w:tr>
      <w:tr>
        <w:tc>
          <w:tcPr>
            <w:tcW w:type="dxa" w:w="2160"/>
          </w:tcPr>
          <w:p>
            <w:r>
              <w:t>Defense Spending/GDP</w:t>
            </w:r>
          </w:p>
        </w:tc>
        <w:tc>
          <w:tcPr>
            <w:tcW w:type="dxa" w:w="2160"/>
          </w:tcPr>
          <w:p>
            <w:r>
              <w:t>1.48%</w:t>
            </w:r>
          </w:p>
        </w:tc>
        <w:tc>
          <w:tcPr>
            <w:tcW w:type="dxa" w:w="2160"/>
          </w:tcPr>
          <w:p>
            <w:r>
              <w:t>1.60%</w:t>
            </w:r>
          </w:p>
        </w:tc>
        <w:tc>
          <w:tcPr>
            <w:tcW w:type="dxa" w:w="2160"/>
          </w:tcPr>
          <w:p>
            <w:r>
              <w:t>1.70%</w:t>
            </w:r>
          </w:p>
        </w:tc>
      </w:tr>
      <w:tr>
        <w:tc>
          <w:tcPr>
            <w:tcW w:type="dxa" w:w="2160"/>
          </w:tcPr>
          <w:p>
            <w:r>
              <w:t>R&amp;D Intensity</w:t>
            </w:r>
          </w:p>
        </w:tc>
        <w:tc>
          <w:tcPr>
            <w:tcW w:type="dxa" w:w="2160"/>
          </w:tcPr>
          <w:p>
            <w:r>
              <w:t>1.50%</w:t>
            </w:r>
          </w:p>
        </w:tc>
        <w:tc>
          <w:tcPr>
            <w:tcW w:type="dxa" w:w="2160"/>
          </w:tcPr>
          <w:p>
            <w:r>
              <w:t>1.65%</w:t>
            </w:r>
          </w:p>
        </w:tc>
        <w:tc>
          <w:tcPr>
            <w:tcW w:type="dxa" w:w="2160"/>
          </w:tcPr>
          <w:p>
            <w:r>
              <w:t>1.80%</w:t>
            </w:r>
          </w:p>
        </w:tc>
      </w:tr>
      <w:tr>
        <w:tc>
          <w:tcPr>
            <w:tcW w:type="dxa" w:w="2160"/>
          </w:tcPr>
          <w:p>
            <w:r>
              <w:t>Chinese Tech Dependency</w:t>
            </w:r>
          </w:p>
        </w:tc>
        <w:tc>
          <w:tcPr>
            <w:tcW w:type="dxa" w:w="2160"/>
          </w:tcPr>
          <w:p>
            <w:r>
              <w:t>20%</w:t>
            </w:r>
          </w:p>
        </w:tc>
        <w:tc>
          <w:tcPr>
            <w:tcW w:type="dxa" w:w="2160"/>
          </w:tcPr>
          <w:p>
            <w:r>
              <w:t>15%</w:t>
            </w:r>
          </w:p>
        </w:tc>
        <w:tc>
          <w:tcPr>
            <w:tcW w:type="dxa" w:w="2160"/>
          </w:tcPr>
          <w:p>
            <w:r>
              <w:t>12%</w:t>
            </w:r>
          </w:p>
        </w:tc>
      </w:tr>
      <w:tr>
        <w:tc>
          <w:tcPr>
            <w:tcW w:type="dxa" w:w="2160"/>
          </w:tcPr>
          <w:p>
            <w:r>
              <w:t>NATO Capability Gaps</w:t>
            </w:r>
          </w:p>
        </w:tc>
        <w:tc>
          <w:tcPr>
            <w:tcW w:type="dxa" w:w="2160"/>
          </w:tcPr>
          <w:p>
            <w:r>
              <w:t>15</w:t>
            </w:r>
          </w:p>
        </w:tc>
        <w:tc>
          <w:tcPr>
            <w:tcW w:type="dxa" w:w="2160"/>
          </w:tcPr>
          <w:p>
            <w:r>
              <w:t>18</w:t>
            </w:r>
          </w:p>
        </w:tc>
        <w:tc>
          <w:tcPr>
            <w:tcW w:type="dxa" w:w="2160"/>
          </w:tcPr>
          <w:p>
            <w:r>
              <w:t>20</w:t>
            </w:r>
          </w:p>
        </w:tc>
      </w:tr>
    </w:tbl>
    <w:p>
      <w:r/>
      <w:r>
        <w:rPr>
          <w:b/>
        </w:rPr>
        <w:t>Implications:</w:t>
      </w:r>
      <w:r/>
    </w:p>
    <w:p>
      <w:pPr>
        <w:pStyle w:val="ListBullet"/>
      </w:pPr>
      <w:r>
        <w:t>Italy remains junior partner in major programs</w:t>
      </w:r>
    </w:p>
    <w:p>
      <w:pPr>
        <w:pStyle w:val="ListBullet"/>
      </w:pPr>
      <w:r>
        <w:t>Struggles with operational readiness</w:t>
      </w:r>
    </w:p>
    <w:p>
      <w:pPr>
        <w:pStyle w:val="ListBullet"/>
      </w:pPr>
      <w:r>
        <w:t>Limited technology sovereignty gains</w:t>
      </w:r>
    </w:p>
    <w:p>
      <w:pPr>
        <w:pStyle w:val="ListBullet"/>
      </w:pPr>
      <w:r>
        <w:t>Manageable but persistent vulnerabilities</w:t>
      </w:r>
    </w:p>
    <w:p>
      <w:r/>
      <w:r>
        <w:rPr>
          <w:b/>
        </w:rPr>
        <w:t>Probability Drivers:</w:t>
      </w:r>
      <w:r/>
    </w:p>
    <w:p>
      <w:pPr>
        <w:pStyle w:val="ListBullet"/>
      </w:pPr>
      <w:r>
        <w:t>Continued fiscal constraints (HIGH)</w:t>
      </w:r>
    </w:p>
    <w:p>
      <w:pPr>
        <w:pStyle w:val="ListBullet"/>
      </w:pPr>
      <w:r>
        <w:t>Political stability maintenance (MEDIUM)</w:t>
      </w:r>
    </w:p>
    <w:p>
      <w:pPr>
        <w:pStyle w:val="ListBullet"/>
      </w:pPr>
      <w:r>
        <w:t>EU integration deepening (HIGH)</w:t>
      </w:r>
    </w:p>
    <w:p>
      <w:pPr>
        <w:pStyle w:val="ListBullet"/>
      </w:pPr>
      <w:r>
        <w:t>Economic growth limitations (MEDIUM)</w:t>
      </w:r>
    </w:p>
    <w:p>
      <w:pPr>
        <w:pStyle w:val="Heading2"/>
      </w:pPr>
      <w:r>
        <w:t>Scenario 2: Strategic Awakening (Accelerated) - 20-30% Probability</w:t>
      </w:r>
    </w:p>
    <w:p>
      <w:r/>
      <w:r>
        <w:rPr>
          <w:b/>
        </w:rPr>
        <w:t>Narrative:</w:t>
      </w:r>
      <w:r>
        <w:t xml:space="preserve"> Regional Mediterranean crisis drives political consensus for increased defense spending reaching 2% by 2030. PNRR successfully catalyzes innovation ecosystem. Italy emerges as Mediterranean framework nation leader. Technology partnerships with US/UK/Japan deepen.</w:t>
      </w:r>
    </w:p>
    <w:p>
      <w:r/>
      <w:r>
        <w:rPr>
          <w:b/>
        </w:rPr>
        <w:t>Key Indicators by Timeline:</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2025</w:t>
            </w:r>
          </w:p>
        </w:tc>
        <w:tc>
          <w:tcPr>
            <w:tcW w:type="dxa" w:w="2160"/>
          </w:tcPr>
          <w:p>
            <w:r>
              <w:rPr>
                <w:b/>
              </w:rPr>
              <w:t>2028</w:t>
            </w:r>
          </w:p>
        </w:tc>
        <w:tc>
          <w:tcPr>
            <w:tcW w:type="dxa" w:w="2160"/>
          </w:tcPr>
          <w:p>
            <w:r>
              <w:rPr>
                <w:b/>
              </w:rPr>
              <w:t>2033</w:t>
            </w:r>
          </w:p>
        </w:tc>
      </w:tr>
      <w:tr>
        <w:tc>
          <w:tcPr>
            <w:tcW w:type="dxa" w:w="2160"/>
          </w:tcPr>
          <w:p>
            <w:r>
              <w:t>Defense Spending/GDP</w:t>
            </w:r>
          </w:p>
        </w:tc>
        <w:tc>
          <w:tcPr>
            <w:tcW w:type="dxa" w:w="2160"/>
          </w:tcPr>
          <w:p>
            <w:r>
              <w:t>1.55%</w:t>
            </w:r>
          </w:p>
        </w:tc>
        <w:tc>
          <w:tcPr>
            <w:tcW w:type="dxa" w:w="2160"/>
          </w:tcPr>
          <w:p>
            <w:r>
              <w:t>1.80%</w:t>
            </w:r>
          </w:p>
        </w:tc>
        <w:tc>
          <w:tcPr>
            <w:tcW w:type="dxa" w:w="2160"/>
          </w:tcPr>
          <w:p>
            <w:r>
              <w:t>2.00%</w:t>
            </w:r>
          </w:p>
        </w:tc>
      </w:tr>
      <w:tr>
        <w:tc>
          <w:tcPr>
            <w:tcW w:type="dxa" w:w="2160"/>
          </w:tcPr>
          <w:p>
            <w:r>
              <w:t>R&amp;D Intensity</w:t>
            </w:r>
          </w:p>
        </w:tc>
        <w:tc>
          <w:tcPr>
            <w:tcW w:type="dxa" w:w="2160"/>
          </w:tcPr>
          <w:p>
            <w:r>
              <w:t>1.58%</w:t>
            </w:r>
          </w:p>
        </w:tc>
        <w:tc>
          <w:tcPr>
            <w:tcW w:type="dxa" w:w="2160"/>
          </w:tcPr>
          <w:p>
            <w:r>
              <w:t>1.90%</w:t>
            </w:r>
          </w:p>
        </w:tc>
        <w:tc>
          <w:tcPr>
            <w:tcW w:type="dxa" w:w="2160"/>
          </w:tcPr>
          <w:p>
            <w:r>
              <w:t>2.30%</w:t>
            </w:r>
          </w:p>
        </w:tc>
      </w:tr>
      <w:tr>
        <w:tc>
          <w:tcPr>
            <w:tcW w:type="dxa" w:w="2160"/>
          </w:tcPr>
          <w:p>
            <w:r>
              <w:t>Innovation Global Ranking</w:t>
            </w:r>
          </w:p>
        </w:tc>
        <w:tc>
          <w:tcPr>
            <w:tcW w:type="dxa" w:w="2160"/>
          </w:tcPr>
          <w:p>
            <w:r>
              <w:t>25</w:t>
            </w:r>
          </w:p>
        </w:tc>
        <w:tc>
          <w:tcPr>
            <w:tcW w:type="dxa" w:w="2160"/>
          </w:tcPr>
          <w:p>
            <w:r>
              <w:t>20</w:t>
            </w:r>
          </w:p>
        </w:tc>
        <w:tc>
          <w:tcPr>
            <w:tcW w:type="dxa" w:w="2160"/>
          </w:tcPr>
          <w:p>
            <w:r>
              <w:t>15</w:t>
            </w:r>
          </w:p>
        </w:tc>
      </w:tr>
      <w:tr>
        <w:tc>
          <w:tcPr>
            <w:tcW w:type="dxa" w:w="2160"/>
          </w:tcPr>
          <w:p>
            <w:r>
              <w:t>Technology Sovereignty Index</w:t>
            </w:r>
          </w:p>
        </w:tc>
        <w:tc>
          <w:tcPr>
            <w:tcW w:type="dxa" w:w="2160"/>
          </w:tcPr>
          <w:p>
            <w:r>
              <w:t>60%</w:t>
            </w:r>
          </w:p>
        </w:tc>
        <w:tc>
          <w:tcPr>
            <w:tcW w:type="dxa" w:w="2160"/>
          </w:tcPr>
          <w:p>
            <w:r>
              <w:t>75%</w:t>
            </w:r>
          </w:p>
        </w:tc>
        <w:tc>
          <w:tcPr>
            <w:tcW w:type="dxa" w:w="2160"/>
          </w:tcPr>
          <w:p>
            <w:r>
              <w:t>85%</w:t>
            </w:r>
          </w:p>
        </w:tc>
      </w:tr>
    </w:tbl>
    <w:p>
      <w:r/>
      <w:r>
        <w:rPr>
          <w:b/>
        </w:rPr>
        <w:t>Trigger Events:</w:t>
      </w:r>
      <w:r/>
    </w:p>
    <w:p>
      <w:pPr>
        <w:pStyle w:val="ListBullet"/>
      </w:pPr>
      <w:r>
        <w:t>Major Mediterranean security crisis</w:t>
      </w:r>
    </w:p>
    <w:p>
      <w:pPr>
        <w:pStyle w:val="ListBullet"/>
      </w:pPr>
      <w:r>
        <w:t>New Marshall Plan for European defense</w:t>
      </w:r>
    </w:p>
    <w:p>
      <w:pPr>
        <w:pStyle w:val="ListBullet"/>
      </w:pPr>
      <w:r>
        <w:t>Successful German-style Zeitenwende moment</w:t>
      </w:r>
    </w:p>
    <w:p>
      <w:pPr>
        <w:pStyle w:val="ListBullet"/>
      </w:pPr>
      <w:r>
        <w:t>Significant Chinese aggressive action</w:t>
      </w:r>
    </w:p>
    <w:p>
      <w:r/>
      <w:r>
        <w:rPr>
          <w:b/>
        </w:rPr>
        <w:t>Implications:</w:t>
      </w:r>
      <w:r/>
    </w:p>
    <w:p>
      <w:pPr>
        <w:pStyle w:val="ListBullet"/>
      </w:pPr>
      <w:r>
        <w:t>Italy becomes major NATO technology contributor</w:t>
      </w:r>
    </w:p>
    <w:p>
      <w:pPr>
        <w:pStyle w:val="ListBullet"/>
      </w:pPr>
      <w:r>
        <w:t>European defense industrial consolidation leadership</w:t>
      </w:r>
    </w:p>
    <w:p>
      <w:pPr>
        <w:pStyle w:val="ListBullet"/>
      </w:pPr>
      <w:r>
        <w:t>Strategic autonomy in critical technologies</w:t>
      </w:r>
    </w:p>
    <w:p>
      <w:pPr>
        <w:pStyle w:val="ListBullet"/>
      </w:pPr>
      <w:r>
        <w:t>Regional security framework architect</w:t>
      </w:r>
    </w:p>
    <w:p>
      <w:pPr>
        <w:pStyle w:val="Heading2"/>
      </w:pPr>
      <w:r>
        <w:t>Scenario 3: Dependency Spiral (Decline) - 15-25% Probability</w:t>
      </w:r>
    </w:p>
    <w:p>
      <w:r/>
      <w:r>
        <w:rPr>
          <w:b/>
        </w:rPr>
        <w:t>Narrative:</w:t>
      </w:r>
      <w:r>
        <w:t xml:space="preserve"> Economic stagnation and political instability prevent modernization investments. Chinese technology penetration accelerates through economic necessity. NATO burden-sharing tensions increase. Italy becomes increasingly dependent on adversary-controlled systems.</w:t>
      </w:r>
    </w:p>
    <w:p>
      <w:r/>
      <w:r>
        <w:rPr>
          <w:b/>
        </w:rPr>
        <w:t>Key Indicators by Timeline:</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2025</w:t>
            </w:r>
          </w:p>
        </w:tc>
        <w:tc>
          <w:tcPr>
            <w:tcW w:type="dxa" w:w="2160"/>
          </w:tcPr>
          <w:p>
            <w:r>
              <w:rPr>
                <w:b/>
              </w:rPr>
              <w:t>2028</w:t>
            </w:r>
          </w:p>
        </w:tc>
        <w:tc>
          <w:tcPr>
            <w:tcW w:type="dxa" w:w="2160"/>
          </w:tcPr>
          <w:p>
            <w:r>
              <w:rPr>
                <w:b/>
              </w:rPr>
              <w:t>2033</w:t>
            </w:r>
          </w:p>
        </w:tc>
      </w:tr>
      <w:tr>
        <w:tc>
          <w:tcPr>
            <w:tcW w:type="dxa" w:w="2160"/>
          </w:tcPr>
          <w:p>
            <w:r>
              <w:t>Defense Spending/GDP</w:t>
            </w:r>
          </w:p>
        </w:tc>
        <w:tc>
          <w:tcPr>
            <w:tcW w:type="dxa" w:w="2160"/>
          </w:tcPr>
          <w:p>
            <w:r>
              <w:t>1.42%</w:t>
            </w:r>
          </w:p>
        </w:tc>
        <w:tc>
          <w:tcPr>
            <w:tcW w:type="dxa" w:w="2160"/>
          </w:tcPr>
          <w:p>
            <w:r>
              <w:t>1.35%</w:t>
            </w:r>
          </w:p>
        </w:tc>
        <w:tc>
          <w:tcPr>
            <w:tcW w:type="dxa" w:w="2160"/>
          </w:tcPr>
          <w:p>
            <w:r>
              <w:t>1.25%</w:t>
            </w:r>
          </w:p>
        </w:tc>
      </w:tr>
      <w:tr>
        <w:tc>
          <w:tcPr>
            <w:tcW w:type="dxa" w:w="2160"/>
          </w:tcPr>
          <w:p>
            <w:r>
              <w:t>Chinese Tech Dependency</w:t>
            </w:r>
          </w:p>
        </w:tc>
        <w:tc>
          <w:tcPr>
            <w:tcW w:type="dxa" w:w="2160"/>
          </w:tcPr>
          <w:p>
            <w:r>
              <w:t>25%</w:t>
            </w:r>
          </w:p>
        </w:tc>
        <w:tc>
          <w:tcPr>
            <w:tcW w:type="dxa" w:w="2160"/>
          </w:tcPr>
          <w:p>
            <w:r>
              <w:t>40%</w:t>
            </w:r>
          </w:p>
        </w:tc>
        <w:tc>
          <w:tcPr>
            <w:tcW w:type="dxa" w:w="2160"/>
          </w:tcPr>
          <w:p>
            <w:r>
              <w:t>55%</w:t>
            </w:r>
          </w:p>
        </w:tc>
      </w:tr>
      <w:tr>
        <w:tc>
          <w:tcPr>
            <w:tcW w:type="dxa" w:w="2160"/>
          </w:tcPr>
          <w:p>
            <w:r>
              <w:t>NATO Capability Gaps</w:t>
            </w:r>
          </w:p>
        </w:tc>
        <w:tc>
          <w:tcPr>
            <w:tcW w:type="dxa" w:w="2160"/>
          </w:tcPr>
          <w:p>
            <w:r>
              <w:t>18</w:t>
            </w:r>
          </w:p>
        </w:tc>
        <w:tc>
          <w:tcPr>
            <w:tcW w:type="dxa" w:w="2160"/>
          </w:tcPr>
          <w:p>
            <w:r>
              <w:t>28</w:t>
            </w:r>
          </w:p>
        </w:tc>
        <w:tc>
          <w:tcPr>
            <w:tcW w:type="dxa" w:w="2160"/>
          </w:tcPr>
          <w:p>
            <w:r>
              <w:t>35</w:t>
            </w:r>
          </w:p>
        </w:tc>
      </w:tr>
      <w:tr>
        <w:tc>
          <w:tcPr>
            <w:tcW w:type="dxa" w:w="2160"/>
          </w:tcPr>
          <w:p>
            <w:r>
              <w:t>Alliance Relationship Index</w:t>
            </w:r>
          </w:p>
        </w:tc>
        <w:tc>
          <w:tcPr>
            <w:tcW w:type="dxa" w:w="2160"/>
          </w:tcPr>
          <w:p>
            <w:r>
              <w:t>7/10</w:t>
            </w:r>
          </w:p>
        </w:tc>
        <w:tc>
          <w:tcPr>
            <w:tcW w:type="dxa" w:w="2160"/>
          </w:tcPr>
          <w:p>
            <w:r>
              <w:t>5/10</w:t>
            </w:r>
          </w:p>
        </w:tc>
        <w:tc>
          <w:tcPr>
            <w:tcW w:type="dxa" w:w="2160"/>
          </w:tcPr>
          <w:p>
            <w:r>
              <w:t>3/10</w:t>
            </w:r>
          </w:p>
        </w:tc>
      </w:tr>
    </w:tbl>
    <w:p>
      <w:r/>
      <w:r>
        <w:rPr>
          <w:b/>
        </w:rPr>
        <w:t>Risk Factors:</w:t>
      </w:r>
      <w:r/>
    </w:p>
    <w:p>
      <w:pPr>
        <w:pStyle w:val="ListBullet"/>
      </w:pPr>
      <w:r>
        <w:t>Sustained economic crisis (MEDIUM)</w:t>
      </w:r>
    </w:p>
    <w:p>
      <w:pPr>
        <w:pStyle w:val="ListBullet"/>
      </w:pPr>
      <w:r>
        <w:t>Political system breakdown (LOW-MEDIUM)</w:t>
      </w:r>
    </w:p>
    <w:p>
      <w:pPr>
        <w:pStyle w:val="ListBullet"/>
      </w:pPr>
      <w:r>
        <w:t>Major Chinese economic coercion (MEDIUM)</w:t>
      </w:r>
    </w:p>
    <w:p>
      <w:pPr>
        <w:pStyle w:val="ListBullet"/>
      </w:pPr>
      <w:r>
        <w:t>Alliance abandonment spiral (LOW)</w:t>
      </w:r>
    </w:p>
    <w:p>
      <w:pPr>
        <w:pStyle w:val="Heading1"/>
      </w:pPr>
      <w:r>
        <w:t>Technology Domain Projections</w:t>
      </w:r>
    </w:p>
    <w:p>
      <w:pPr>
        <w:pStyle w:val="Heading2"/>
      </w:pPr>
      <w:r>
        <w:t>Space &amp; Earth Observation</w:t>
      </w:r>
    </w:p>
    <w:p>
      <w:r/>
      <w:r>
        <w:rPr>
          <w:b/>
        </w:rPr>
        <w:t>Baseline Scenario:</w:t>
      </w:r>
      <w:r/>
    </w:p>
    <w:p>
      <w:pPr>
        <w:pStyle w:val="ListBullet"/>
      </w:pPr>
      <w:r>
        <w:t>COSMO-SkyMed constellation maintained</w:t>
      </w:r>
    </w:p>
    <w:p>
      <w:pPr>
        <w:pStyle w:val="ListBullet"/>
      </w:pPr>
      <w:r>
        <w:t>IRIDE program completed with delays</w:t>
      </w:r>
    </w:p>
    <w:p>
      <w:pPr>
        <w:pStyle w:val="ListBullet"/>
      </w:pPr>
      <w:r>
        <w:t>Limited new capability development</w:t>
      </w:r>
    </w:p>
    <w:p>
      <w:pPr>
        <w:pStyle w:val="ListBullet"/>
      </w:pPr>
      <w:r>
        <w:t>Continued dependence on Franco-Italian cooperation</w:t>
      </w:r>
    </w:p>
    <w:p>
      <w:r/>
      <w:r>
        <w:rPr>
          <w:b/>
        </w:rPr>
        <w:t>Strategic Awakening:</w:t>
      </w:r>
      <w:r/>
    </w:p>
    <w:p>
      <w:pPr>
        <w:pStyle w:val="ListBullet"/>
      </w:pPr>
      <w:r>
        <w:t>Independent satellite constellation development</w:t>
      </w:r>
    </w:p>
    <w:p>
      <w:pPr>
        <w:pStyle w:val="ListBullet"/>
      </w:pPr>
      <w:r>
        <w:t>Advanced EO analytics capabilities</w:t>
      </w:r>
    </w:p>
    <w:p>
      <w:pPr>
        <w:pStyle w:val="ListBullet"/>
      </w:pPr>
      <w:r>
        <w:t>Space-based missile defense participation</w:t>
      </w:r>
    </w:p>
    <w:p>
      <w:pPr>
        <w:pStyle w:val="ListBullet"/>
      </w:pPr>
      <w:r>
        <w:t>Global commercial EO market leadership</w:t>
      </w:r>
    </w:p>
    <w:p>
      <w:r/>
      <w:r>
        <w:rPr>
          <w:b/>
        </w:rPr>
        <w:t>Dependency Spiral:</w:t>
      </w:r>
      <w:r/>
    </w:p>
    <w:p>
      <w:pPr>
        <w:pStyle w:val="ListBullet"/>
      </w:pPr>
      <w:r>
        <w:t>Constellation degradation due to funding cuts</w:t>
      </w:r>
    </w:p>
    <w:p>
      <w:pPr>
        <w:pStyle w:val="ListBullet"/>
      </w:pPr>
      <w:r>
        <w:t>Increased reliance on commercial (potentially Chinese) data</w:t>
      </w:r>
    </w:p>
    <w:p>
      <w:pPr>
        <w:pStyle w:val="ListBullet"/>
      </w:pPr>
      <w:r>
        <w:t>Loss of independent space launch capability</w:t>
      </w:r>
    </w:p>
    <w:p>
      <w:pPr>
        <w:pStyle w:val="ListBullet"/>
      </w:pPr>
      <w:r>
        <w:t>Strategic space surveillance gaps</w:t>
      </w:r>
    </w:p>
    <w:p>
      <w:pPr>
        <w:pStyle w:val="Heading2"/>
      </w:pPr>
      <w:r>
        <w:t>Naval &amp; Maritime Systems</w:t>
      </w:r>
    </w:p>
    <w:p>
      <w:r/>
      <w:r>
        <w:rPr>
          <w:b/>
        </w:rPr>
        <w:t>Baseline Scenario:</w:t>
      </w:r>
      <w:r/>
    </w:p>
    <w:p>
      <w:pPr>
        <w:pStyle w:val="ListBullet"/>
      </w:pPr>
      <w:r>
        <w:t>FREMM frigates modernized gradually</w:t>
      </w:r>
    </w:p>
    <w:p>
      <w:pPr>
        <w:pStyle w:val="ListBullet"/>
      </w:pPr>
      <w:r>
        <w:t>U212 submarine capabilities maintained</w:t>
      </w:r>
    </w:p>
    <w:p>
      <w:pPr>
        <w:pStyle w:val="ListBullet"/>
      </w:pPr>
      <w:r>
        <w:t>Limited hypersonic weapon development</w:t>
      </w:r>
    </w:p>
    <w:p>
      <w:pPr>
        <w:pStyle w:val="ListBullet"/>
      </w:pPr>
      <w:r>
        <w:t>Mediterranean security role sustained</w:t>
      </w:r>
    </w:p>
    <w:p>
      <w:r/>
      <w:r>
        <w:rPr>
          <w:b/>
        </w:rPr>
        <w:t>Strategic Awakening:</w:t>
      </w:r>
      <w:r/>
    </w:p>
    <w:p>
      <w:pPr>
        <w:pStyle w:val="ListBullet"/>
      </w:pPr>
      <w:r>
        <w:t>Next-generation submarine program launched</w:t>
      </w:r>
    </w:p>
    <w:p>
      <w:pPr>
        <w:pStyle w:val="ListBullet"/>
      </w:pPr>
      <w:r>
        <w:t>Hypersonic weapon system development</w:t>
      </w:r>
    </w:p>
    <w:p>
      <w:pPr>
        <w:pStyle w:val="ListBullet"/>
      </w:pPr>
      <w:r>
        <w:t>Mediterranean naval dominance established</w:t>
      </w:r>
    </w:p>
    <w:p>
      <w:pPr>
        <w:pStyle w:val="ListBullet"/>
      </w:pPr>
      <w:r>
        <w:t>Global frigate export success</w:t>
      </w:r>
    </w:p>
    <w:p>
      <w:r/>
      <w:r>
        <w:rPr>
          <w:b/>
        </w:rPr>
        <w:t>Dependency Spiral:</w:t>
      </w:r>
      <w:r/>
    </w:p>
    <w:p>
      <w:pPr>
        <w:pStyle w:val="ListBullet"/>
      </w:pPr>
      <w:r>
        <w:t>Fleet modernization delayed indefinitely</w:t>
      </w:r>
    </w:p>
    <w:p>
      <w:pPr>
        <w:pStyle w:val="ListBullet"/>
      </w:pPr>
      <w:r>
        <w:t>Submarine capability gaps emerge</w:t>
      </w:r>
    </w:p>
    <w:p>
      <w:pPr>
        <w:pStyle w:val="ListBullet"/>
      </w:pPr>
      <w:r>
        <w:t>Chinese naval equipment consideration</w:t>
      </w:r>
    </w:p>
    <w:p>
      <w:pPr>
        <w:pStyle w:val="ListBullet"/>
      </w:pPr>
      <w:r>
        <w:t>Mediterranean influence decline</w:t>
      </w:r>
    </w:p>
    <w:p>
      <w:pPr>
        <w:pStyle w:val="Heading2"/>
      </w:pPr>
      <w:r>
        <w:t>Quantum &amp; Advanced Computing</w:t>
      </w:r>
    </w:p>
    <w:p>
      <w:r/>
      <w:r>
        <w:rPr>
          <w:b/>
        </w:rPr>
        <w:t>Baseline Scenario:</w:t>
      </w:r>
      <w:r/>
    </w:p>
    <w:p>
      <w:pPr>
        <w:pStyle w:val="ListBullet"/>
      </w:pPr>
      <w:r>
        <w:t>CINECA maintains competitive position</w:t>
      </w:r>
    </w:p>
    <w:p>
      <w:pPr>
        <w:pStyle w:val="ListBullet"/>
      </w:pPr>
      <w:r>
        <w:t>Limited quantum computing progress (TRL 4-5)</w:t>
      </w:r>
    </w:p>
    <w:p>
      <w:pPr>
        <w:pStyle w:val="ListBullet"/>
      </w:pPr>
      <w:r>
        <w:t>Continued dependence on US/Finnish suppliers</w:t>
      </w:r>
    </w:p>
    <w:p>
      <w:pPr>
        <w:pStyle w:val="ListBullet"/>
      </w:pPr>
      <w:r>
        <w:t>Modest commercial quantum applications</w:t>
      </w:r>
    </w:p>
    <w:p>
      <w:r/>
      <w:r>
        <w:rPr>
          <w:b/>
        </w:rPr>
        <w:t>Strategic Awakening:</w:t>
      </w:r>
      <w:r/>
    </w:p>
    <w:p>
      <w:pPr>
        <w:pStyle w:val="ListBullet"/>
      </w:pPr>
      <w:r>
        <w:t>European quantum computing leadership</w:t>
      </w:r>
    </w:p>
    <w:p>
      <w:pPr>
        <w:pStyle w:val="ListBullet"/>
      </w:pPr>
      <w:r>
        <w:t>Indigenous cryogenics capability development</w:t>
      </w:r>
    </w:p>
    <w:p>
      <w:pPr>
        <w:pStyle w:val="ListBullet"/>
      </w:pPr>
      <w:r>
        <w:t>Quantum-secured communications deployment</w:t>
      </w:r>
    </w:p>
    <w:p>
      <w:pPr>
        <w:pStyle w:val="ListBullet"/>
      </w:pPr>
      <w:r>
        <w:t>Major commercial quantum partnerships</w:t>
      </w:r>
    </w:p>
    <w:p>
      <w:r/>
      <w:r>
        <w:rPr>
          <w:b/>
        </w:rPr>
        <w:t>Dependency Spiral:</w:t>
      </w:r>
      <w:r/>
    </w:p>
    <w:p>
      <w:pPr>
        <w:pStyle w:val="ListBullet"/>
      </w:pPr>
      <w:r>
        <w:t>Quantum research program stagnation</w:t>
      </w:r>
    </w:p>
    <w:p>
      <w:pPr>
        <w:pStyle w:val="ListBullet"/>
      </w:pPr>
      <w:r>
        <w:t>Increased dependence on Chinese quantum components</w:t>
      </w:r>
    </w:p>
    <w:p>
      <w:pPr>
        <w:pStyle w:val="ListBullet"/>
      </w:pPr>
      <w:r>
        <w:t>Loss of competitive HPC position</w:t>
      </w:r>
    </w:p>
    <w:p>
      <w:pPr>
        <w:pStyle w:val="ListBullet"/>
      </w:pPr>
      <w:r>
        <w:t>Strategic quantum computing gaps</w:t>
      </w:r>
    </w:p>
    <w:p>
      <w:pPr>
        <w:pStyle w:val="Heading1"/>
      </w:pPr>
      <w:r>
        <w:t>Adversarial Strategy Projection</w:t>
      </w:r>
    </w:p>
    <w:p>
      <w:pPr>
        <w:pStyle w:val="Heading2"/>
      </w:pPr>
      <w:r>
        <w:t>Chinese Long-term Approach (2025-2035)</w:t>
      </w:r>
    </w:p>
    <w:p>
      <w:r/>
      <w:r>
        <w:rPr>
          <w:b/>
        </w:rPr>
        <w:t>Phase 1 (2025-2027): Consolidation</w:t>
      </w:r>
      <w:r/>
    </w:p>
    <w:p>
      <w:pPr>
        <w:pStyle w:val="ListBullet"/>
      </w:pPr>
      <w:r>
        <w:t>Maintain existing academic relationships</w:t>
      </w:r>
    </w:p>
    <w:p>
      <w:pPr>
        <w:pStyle w:val="ListBullet"/>
      </w:pPr>
      <w:r>
        <w:t>Develop alternative supply chain leverage</w:t>
      </w:r>
    </w:p>
    <w:p>
      <w:pPr>
        <w:pStyle w:val="ListBullet"/>
      </w:pPr>
      <w:r>
        <w:t>Exploit European regulatory arbitrage</w:t>
      </w:r>
    </w:p>
    <w:p>
      <w:pPr>
        <w:pStyle w:val="ListBullet"/>
      </w:pPr>
      <w:r>
        <w:t>Build long-term influence networks</w:t>
      </w:r>
    </w:p>
    <w:p>
      <w:r/>
      <w:r>
        <w:rPr>
          <w:b/>
        </w:rPr>
        <w:t>Phase 2 (2028-2030): Expansion</w:t>
      </w:r>
      <w:r/>
    </w:p>
    <w:p>
      <w:pPr>
        <w:pStyle w:val="ListBullet"/>
      </w:pPr>
      <w:r>
        <w:t>Increase economic coercion capabilities</w:t>
      </w:r>
    </w:p>
    <w:p>
      <w:pPr>
        <w:pStyle w:val="ListBullet"/>
      </w:pPr>
      <w:r>
        <w:t>Deploy mature technology alternatives</w:t>
      </w:r>
    </w:p>
    <w:p>
      <w:pPr>
        <w:pStyle w:val="ListBullet"/>
      </w:pPr>
      <w:r>
        <w:t>Leverage climate/energy dependencies</w:t>
      </w:r>
    </w:p>
    <w:p>
      <w:pPr>
        <w:pStyle w:val="ListBullet"/>
      </w:pPr>
      <w:r>
        <w:t>Exploit Mediterranean regional influence</w:t>
      </w:r>
    </w:p>
    <w:p>
      <w:r/>
      <w:r>
        <w:rPr>
          <w:b/>
        </w:rPr>
        <w:t>Phase 3 (2031-2035): Dominance</w:t>
      </w:r>
      <w:r/>
    </w:p>
    <w:p>
      <w:pPr>
        <w:pStyle w:val="ListBullet"/>
      </w:pPr>
      <w:r>
        <w:t>Challenge US technology partnerships</w:t>
      </w:r>
    </w:p>
    <w:p>
      <w:pPr>
        <w:pStyle w:val="ListBullet"/>
      </w:pPr>
      <w:r>
        <w:t>Offer comprehensive technology packages</w:t>
      </w:r>
    </w:p>
    <w:p>
      <w:pPr>
        <w:pStyle w:val="ListBullet"/>
      </w:pPr>
      <w:r>
        <w:t>Exploit accumulated dependencies</w:t>
      </w:r>
    </w:p>
    <w:p>
      <w:pPr>
        <w:pStyle w:val="ListBullet"/>
      </w:pPr>
      <w:r>
        <w:t>Create systemic alliance tensions</w:t>
      </w:r>
    </w:p>
    <w:p>
      <w:pPr>
        <w:pStyle w:val="Heading2"/>
      </w:pPr>
      <w:r>
        <w:t>Russian Complementary Strategy</w:t>
      </w:r>
    </w:p>
    <w:p>
      <w:r/>
      <w:r>
        <w:rPr>
          <w:b/>
        </w:rPr>
        <w:t>Hybrid Warfare Continuation:</w:t>
      </w:r>
      <w:r/>
    </w:p>
    <w:p>
      <w:pPr>
        <w:pStyle w:val="ListBullet"/>
      </w:pPr>
      <w:r>
        <w:t>Cyber attacks on critical infrastructure</w:t>
      </w:r>
    </w:p>
    <w:p>
      <w:pPr>
        <w:pStyle w:val="ListBullet"/>
      </w:pPr>
      <w:r>
        <w:t>Disinformation targeting NATO resolve</w:t>
      </w:r>
    </w:p>
    <w:p>
      <w:pPr>
        <w:pStyle w:val="ListBullet"/>
      </w:pPr>
      <w:r>
        <w:t>Energy weapon deployment</w:t>
      </w:r>
    </w:p>
    <w:p>
      <w:pPr>
        <w:pStyle w:val="ListBullet"/>
      </w:pPr>
      <w:r>
        <w:t>Mediterranean destabilization efforts</w:t>
      </w:r>
    </w:p>
    <w:p>
      <w:r/>
      <w:r>
        <w:rPr>
          <w:b/>
        </w:rPr>
        <w:t>Technology Disruption:</w:t>
      </w:r>
      <w:r/>
    </w:p>
    <w:p>
      <w:pPr>
        <w:pStyle w:val="ListBullet"/>
      </w:pPr>
      <w:r>
        <w:t>Space-based capabilities targeting</w:t>
      </w:r>
    </w:p>
    <w:p>
      <w:pPr>
        <w:pStyle w:val="ListBullet"/>
      </w:pPr>
      <w:r>
        <w:t>Submarine warfare capability challenges</w:t>
      </w:r>
    </w:p>
    <w:p>
      <w:pPr>
        <w:pStyle w:val="ListBullet"/>
      </w:pPr>
      <w:r>
        <w:t>Electronic warfare intensification</w:t>
      </w:r>
    </w:p>
    <w:p>
      <w:pPr>
        <w:pStyle w:val="ListBullet"/>
      </w:pPr>
      <w:r>
        <w:t>Critical infrastructure sabotage</w:t>
      </w:r>
    </w:p>
    <w:p>
      <w:pPr>
        <w:pStyle w:val="Heading1"/>
      </w:pPr>
      <w:r>
        <w:t>Critical Decision Points</w:t>
      </w:r>
    </w:p>
    <w:p>
      <w:pPr>
        <w:pStyle w:val="Heading2"/>
      </w:pPr>
      <w:r>
        <w:t>2025-2026: Technology Sovereignty Fork</w:t>
      </w:r>
    </w:p>
    <w:p>
      <w:r/>
      <w:r>
        <w:rPr>
          <w:b/>
        </w:rPr>
        <w:t>Decision Required:</w:t>
      </w:r>
      <w:r>
        <w:t xml:space="preserve"> Major investment in indigenous capabilities vs. continued dependence</w:t>
      </w:r>
    </w:p>
    <w:p>
      <w:r/>
      <w:r>
        <w:rPr>
          <w:b/>
        </w:rPr>
        <w:t>Implications:</w:t>
      </w:r>
      <w:r>
        <w:t xml:space="preserve"> Determines long-term strategic autonomy trajectory</w:t>
      </w:r>
    </w:p>
    <w:p>
      <w:r/>
      <w:r>
        <w:rPr>
          <w:b/>
        </w:rPr>
        <w:t>Window:</w:t>
      </w:r>
      <w:r>
        <w:t xml:space="preserve"> 18-24 months for effective action</w:t>
      </w:r>
    </w:p>
    <w:p>
      <w:pPr>
        <w:pStyle w:val="Heading2"/>
      </w:pPr>
      <w:r>
        <w:t>2027-2028: Alliance Integration Depth</w:t>
      </w:r>
    </w:p>
    <w:p>
      <w:r/>
      <w:r>
        <w:rPr>
          <w:b/>
        </w:rPr>
        <w:t>Decision Required:</w:t>
      </w:r>
      <w:r>
        <w:t xml:space="preserve"> NATO burden-sharing compliance vs. selective participation</w:t>
      </w:r>
    </w:p>
    <w:p>
      <w:r/>
      <w:r>
        <w:rPr>
          <w:b/>
        </w:rPr>
        <w:t>Implications:</w:t>
      </w:r>
      <w:r>
        <w:t xml:space="preserve"> Affects transatlantic relationship sustainability</w:t>
      </w:r>
    </w:p>
    <w:p>
      <w:r/>
      <w:r>
        <w:rPr>
          <w:b/>
        </w:rPr>
        <w:t>Consequences:</w:t>
      </w:r>
      <w:r>
        <w:t xml:space="preserve"> Determines Italy's alliance status through 2030s</w:t>
      </w:r>
    </w:p>
    <w:p>
      <w:pPr>
        <w:pStyle w:val="Heading2"/>
      </w:pPr>
      <w:r>
        <w:t>2029-2030: Mediterranean Leadership</w:t>
      </w:r>
    </w:p>
    <w:p>
      <w:r/>
      <w:r>
        <w:rPr>
          <w:b/>
        </w:rPr>
        <w:t>Decision Required:</w:t>
      </w:r>
      <w:r>
        <w:t xml:space="preserve"> Regional framework nation role vs. junior partner status</w:t>
      </w:r>
    </w:p>
    <w:p>
      <w:r/>
      <w:r>
        <w:rPr>
          <w:b/>
        </w:rPr>
        <w:t>Implications:</w:t>
      </w:r>
      <w:r>
        <w:t xml:space="preserve"> Shapes Southern European security architecture</w:t>
      </w:r>
    </w:p>
    <w:p>
      <w:r/>
      <w:r>
        <w:rPr>
          <w:b/>
        </w:rPr>
        <w:t>Opportunity:</w:t>
      </w:r>
      <w:r>
        <w:t xml:space="preserve"> Unique positioning for regional influence</w:t>
      </w:r>
    </w:p>
    <w:p>
      <w:pPr>
        <w:pStyle w:val="Heading1"/>
      </w:pPr>
      <w:r>
        <w:t>Recommended Foresight Capabilities</w:t>
      </w:r>
    </w:p>
    <w:p>
      <w:pPr>
        <w:pStyle w:val="Heading2"/>
      </w:pPr>
      <w:r>
        <w:t>Strategic Intelligence Enhancement</w:t>
      </w:r>
    </w:p>
    <w:p>
      <w:r/>
      <w:r>
        <w:rPr>
          <w:b/>
        </w:rPr>
        <w:t>Technology Forecasting Systems:</w:t>
      </w:r>
      <w:r/>
    </w:p>
    <w:p>
      <w:pPr>
        <w:pStyle w:val="ListBullet"/>
      </w:pPr>
      <w:r>
        <w:t>AI-powered trend analysis platforms</w:t>
      </w:r>
    </w:p>
    <w:p>
      <w:pPr>
        <w:pStyle w:val="ListBullet"/>
      </w:pPr>
      <w:r>
        <w:t>Patent landscape monitoring systems</w:t>
      </w:r>
    </w:p>
    <w:p>
      <w:pPr>
        <w:pStyle w:val="ListBullet"/>
      </w:pPr>
      <w:r>
        <w:t>Academic collaboration tracking networks</w:t>
      </w:r>
    </w:p>
    <w:p>
      <w:pPr>
        <w:pStyle w:val="ListBullet"/>
      </w:pPr>
      <w:r>
        <w:t>Supply chain vulnerability assessment tools</w:t>
      </w:r>
    </w:p>
    <w:p>
      <w:r/>
      <w:r>
        <w:rPr>
          <w:b/>
        </w:rPr>
        <w:t>Adversary Intent Analysis:</w:t>
      </w:r>
      <w:r/>
    </w:p>
    <w:p>
      <w:pPr>
        <w:pStyle w:val="ListBullet"/>
      </w:pPr>
      <w:r>
        <w:t>Chinese long-term strategy assessment</w:t>
      </w:r>
    </w:p>
    <w:p>
      <w:pPr>
        <w:pStyle w:val="ListBullet"/>
      </w:pPr>
      <w:r>
        <w:t>Russian hybrid warfare monitoring</w:t>
      </w:r>
    </w:p>
    <w:p>
      <w:pPr>
        <w:pStyle w:val="ListBullet"/>
      </w:pPr>
      <w:r>
        <w:t>Economic coercion early warning systems</w:t>
      </w:r>
    </w:p>
    <w:p>
      <w:pPr>
        <w:pStyle w:val="ListBullet"/>
      </w:pPr>
      <w:r>
        <w:t>Regional destabilization indicators</w:t>
      </w:r>
    </w:p>
    <w:p>
      <w:pPr>
        <w:pStyle w:val="Heading2"/>
      </w:pPr>
      <w:r>
        <w:t>Scenario Planning Integration</w:t>
      </w:r>
    </w:p>
    <w:p>
      <w:r/>
      <w:r>
        <w:rPr>
          <w:b/>
        </w:rPr>
        <w:t>Government Decision Support:</w:t>
      </w:r>
      <w:r/>
    </w:p>
    <w:p>
      <w:pPr>
        <w:pStyle w:val="ListBullet"/>
      </w:pPr>
      <w:r>
        <w:t>Multi-scenario policy impact modeling</w:t>
      </w:r>
    </w:p>
    <w:p>
      <w:pPr>
        <w:pStyle w:val="ListBullet"/>
      </w:pPr>
      <w:r>
        <w:t>Technology investment decision frameworks</w:t>
      </w:r>
    </w:p>
    <w:p>
      <w:pPr>
        <w:pStyle w:val="ListBullet"/>
      </w:pPr>
      <w:r>
        <w:t>Alliance relationship simulation systems</w:t>
      </w:r>
    </w:p>
    <w:p>
      <w:pPr>
        <w:pStyle w:val="ListBullet"/>
      </w:pPr>
      <w:r>
        <w:t>Crisis response scenario planning</w:t>
      </w:r>
    </w:p>
    <w:p>
      <w:r/>
      <w:r>
        <w:rPr>
          <w:b/>
        </w:rPr>
        <w:t>Industry Engagement:</w:t>
      </w:r>
      <w:r/>
    </w:p>
    <w:p>
      <w:pPr>
        <w:pStyle w:val="ListBullet"/>
      </w:pPr>
      <w:r>
        <w:t>Defense industrial planning coordination</w:t>
      </w:r>
    </w:p>
    <w:p>
      <w:pPr>
        <w:pStyle w:val="ListBullet"/>
      </w:pPr>
      <w:r>
        <w:t>Civilian technology dual-use assessment</w:t>
      </w:r>
    </w:p>
    <w:p>
      <w:pPr>
        <w:pStyle w:val="ListBullet"/>
      </w:pPr>
      <w:r>
        <w:t>Supply chain resilience modeling</w:t>
      </w:r>
    </w:p>
    <w:p>
      <w:pPr>
        <w:pStyle w:val="ListBullet"/>
      </w:pPr>
      <w:r>
        <w:t>Innovation ecosystem development</w:t>
      </w:r>
    </w:p>
    <w:p>
      <w:pPr>
        <w:pStyle w:val="Heading1"/>
      </w:pPr>
      <w:r>
        <w:t>Technology Investment Priorities</w:t>
      </w:r>
    </w:p>
    <w:p>
      <w:pPr>
        <w:pStyle w:val="Heading2"/>
      </w:pPr>
      <w:r>
        <w:t>High-Confidence Investments (All Scenarios)</w:t>
      </w:r>
    </w:p>
    <w:p>
      <w:r>
        <w:t xml:space="preserve">1. </w:t>
      </w:r>
      <w:r>
        <w:rPr>
          <w:b/>
        </w:rPr>
        <w:t>Quantum Computing Infrastructure:</w:t>
      </w:r>
      <w:r>
        <w:t xml:space="preserve"> Essential across all trajectories</w:t>
      </w:r>
    </w:p>
    <w:p>
      <w:r>
        <w:t xml:space="preserve">2. </w:t>
      </w:r>
      <w:r>
        <w:rPr>
          <w:b/>
        </w:rPr>
        <w:t>Cybersecurity Capabilities:</w:t>
      </w:r>
      <w:r>
        <w:t xml:space="preserve"> Critical for defense and economic security</w:t>
      </w:r>
    </w:p>
    <w:p>
      <w:r>
        <w:t xml:space="preserve">3. </w:t>
      </w:r>
      <w:r>
        <w:rPr>
          <w:b/>
        </w:rPr>
        <w:t>Space Systems Sovereignty:</w:t>
      </w:r>
      <w:r>
        <w:t xml:space="preserve"> Fundamental for intelligence and communications</w:t>
      </w:r>
    </w:p>
    <w:p>
      <w:r>
        <w:t xml:space="preserve">4. </w:t>
      </w:r>
      <w:r>
        <w:rPr>
          <w:b/>
        </w:rPr>
        <w:t>Advanced Manufacturing:</w:t>
      </w:r>
      <w:r>
        <w:t xml:space="preserve"> Required for defense industrial base</w:t>
      </w:r>
    </w:p>
    <w:p>
      <w:pPr>
        <w:pStyle w:val="Heading2"/>
      </w:pPr>
      <w:r>
        <w:t>Scenario-Dependent Investments</w:t>
      </w:r>
    </w:p>
    <w:p>
      <w:r/>
      <w:r>
        <w:rPr>
          <w:b/>
        </w:rPr>
        <w:t>If Strategic Awakening Likely:</w:t>
      </w:r>
      <w:r/>
    </w:p>
    <w:p>
      <w:pPr>
        <w:pStyle w:val="ListBullet"/>
      </w:pPr>
      <w:r>
        <w:t>Hypersonic weapons development</w:t>
      </w:r>
    </w:p>
    <w:p>
      <w:pPr>
        <w:pStyle w:val="ListBullet"/>
      </w:pPr>
      <w:r>
        <w:t>Next-generation submarine programs</w:t>
      </w:r>
    </w:p>
    <w:p>
      <w:pPr>
        <w:pStyle w:val="ListBullet"/>
      </w:pPr>
      <w:r>
        <w:t>Indigenous semiconductor capability</w:t>
      </w:r>
    </w:p>
    <w:p>
      <w:pPr>
        <w:pStyle w:val="ListBullet"/>
      </w:pPr>
      <w:r>
        <w:t>Mediterranean security framework</w:t>
      </w:r>
    </w:p>
    <w:p>
      <w:r/>
      <w:r>
        <w:rPr>
          <w:b/>
        </w:rPr>
        <w:t>If Dependency Spiral Risk High:</w:t>
      </w:r>
      <w:r/>
    </w:p>
    <w:p>
      <w:pPr>
        <w:pStyle w:val="ListBullet"/>
      </w:pPr>
      <w:r>
        <w:t>Alternative supplier development</w:t>
      </w:r>
    </w:p>
    <w:p>
      <w:pPr>
        <w:pStyle w:val="ListBullet"/>
      </w:pPr>
      <w:r>
        <w:t>Emergency technology stockpiling</w:t>
      </w:r>
    </w:p>
    <w:p>
      <w:pPr>
        <w:pStyle w:val="ListBullet"/>
      </w:pPr>
      <w:r>
        <w:t>Alliance relationship insurance</w:t>
      </w:r>
    </w:p>
    <w:p>
      <w:pPr>
        <w:pStyle w:val="ListBullet"/>
      </w:pPr>
      <w:r>
        <w:t>Rapid capability acquisition</w:t>
      </w:r>
    </w:p>
    <w:p>
      <w:pPr>
        <w:pStyle w:val="Heading1"/>
      </w:pPr>
      <w:r>
        <w:t>Quality Assessment</w:t>
      </w:r>
    </w:p>
    <w:p>
      <w:pPr>
        <w:pStyle w:val="Heading2"/>
      </w:pPr>
      <w:r>
        <w:t>Scenario Probability Confidence</w:t>
      </w:r>
    </w:p>
    <w:p>
      <w:r>
        <w:t xml:space="preserve">- </w:t>
      </w:r>
      <w:r>
        <w:rPr>
          <w:b/>
        </w:rPr>
        <w:t>Baseline (Gradual Modernization):</w:t>
      </w:r>
      <w:r>
        <w:t xml:space="preserve"> HIGH confidence (historical precedent)</w:t>
      </w:r>
    </w:p>
    <w:p>
      <w:r>
        <w:t xml:space="preserve">- </w:t>
      </w:r>
      <w:r>
        <w:rPr>
          <w:b/>
        </w:rPr>
        <w:t>Strategic Awakening:</w:t>
      </w:r>
      <w:r>
        <w:t xml:space="preserve"> MEDIUM confidence (requires trigger events)</w:t>
      </w:r>
    </w:p>
    <w:p>
      <w:r>
        <w:t xml:space="preserve">- </w:t>
      </w:r>
      <w:r>
        <w:rPr>
          <w:b/>
        </w:rPr>
        <w:t>Dependency Spiral:</w:t>
      </w:r>
      <w:r>
        <w:t xml:space="preserve"> MEDIUM-LOW confidence (multiple negative factors required)</w:t>
      </w:r>
    </w:p>
    <w:p>
      <w:pPr>
        <w:pStyle w:val="Heading2"/>
      </w:pPr>
      <w:r>
        <w:t>Projection Accuracy Expectations</w:t>
      </w:r>
    </w:p>
    <w:p>
      <w:r/>
      <w:r>
        <w:rPr>
          <w:b/>
        </w:rPr>
        <w:t>2025-2027:</w:t>
      </w:r>
      <w:r>
        <w:t xml:space="preserve"> 70-80% accuracy expected for major trends</w:t>
      </w:r>
    </w:p>
    <w:p>
      <w:r/>
      <w:r>
        <w:rPr>
          <w:b/>
        </w:rPr>
        <w:t>2028-2030:</w:t>
      </w:r>
      <w:r>
        <w:t xml:space="preserve"> 60-70% accuracy for general directions</w:t>
      </w:r>
    </w:p>
    <w:p>
      <w:r/>
      <w:r>
        <w:rPr>
          <w:b/>
        </w:rPr>
        <w:t>2031-2033:</w:t>
      </w:r>
      <w:r>
        <w:t xml:space="preserve"> 40-50% accuracy for specific outcomes</w:t>
      </w:r>
    </w:p>
    <w:p>
      <w:pPr>
        <w:pStyle w:val="Heading1"/>
      </w:pPr>
      <w:r>
        <w:t>Conclusion</w:t>
      </w:r>
    </w:p>
    <w:p>
      <w:r>
        <w:t>Italy faces a critical decade where technology security decisions will determine its strategic position through 2035. The baseline scenario of gradual modernization offers stability but risks long-term competitive decline. The strategic awakening scenario provides the best outcome but requires unprecedented political consensus and investment. The dependency spiral scenario, while least likely, would fundamentally alter Italy's role in Western security architecture.</w:t>
      </w:r>
    </w:p>
    <w:p>
      <w:r/>
      <w:r>
        <w:rPr>
          <w:b/>
        </w:rPr>
        <w:t>Critical Foresight Findings:</w:t>
      </w:r>
      <w:r/>
    </w:p>
    <w:p>
      <w:r>
        <w:t xml:space="preserve">1. </w:t>
      </w:r>
      <w:r>
        <w:rPr>
          <w:b/>
        </w:rPr>
        <w:t>Decision Window:</w:t>
      </w:r>
      <w:r>
        <w:t xml:space="preserve"> 2025-2026 represents critical fork in technology trajectory</w:t>
      </w:r>
    </w:p>
    <w:p>
      <w:r>
        <w:t xml:space="preserve">2. </w:t>
      </w:r>
      <w:r>
        <w:rPr>
          <w:b/>
        </w:rPr>
        <w:t>Scenario Sensitivity:</w:t>
      </w:r>
      <w:r>
        <w:t xml:space="preserve"> Small changes in early decisions create large long-term impacts</w:t>
      </w:r>
    </w:p>
    <w:p>
      <w:r>
        <w:t xml:space="preserve">3. </w:t>
      </w:r>
      <w:r>
        <w:rPr>
          <w:b/>
        </w:rPr>
        <w:t>Adversary Adaptation:</w:t>
      </w:r>
      <w:r>
        <w:t xml:space="preserve"> Chinese strategy will evolve based on Italian responses</w:t>
      </w:r>
    </w:p>
    <w:p>
      <w:r>
        <w:t xml:space="preserve">4. </w:t>
      </w:r>
      <w:r>
        <w:rPr>
          <w:b/>
        </w:rPr>
        <w:t>Alliance Dependencies:</w:t>
      </w:r>
      <w:r>
        <w:t xml:space="preserve"> NATO relationship quality depends on Italian choices</w:t>
      </w:r>
    </w:p>
    <w:p>
      <w:r/>
      <w:r>
        <w:rPr>
          <w:b/>
        </w:rPr>
        <w:t>Strategic Recommendations:</w:t>
      </w:r>
      <w:r/>
    </w:p>
    <w:p>
      <w:r>
        <w:t xml:space="preserve">1. </w:t>
      </w:r>
      <w:r>
        <w:rPr>
          <w:b/>
        </w:rPr>
        <w:t>Immediate Investment:</w:t>
      </w:r>
      <w:r>
        <w:t xml:space="preserve"> Begin strategic awakening investments now to preserve options</w:t>
      </w:r>
    </w:p>
    <w:p>
      <w:r>
        <w:t xml:space="preserve">2. </w:t>
      </w:r>
      <w:r>
        <w:rPr>
          <w:b/>
        </w:rPr>
        <w:t>Scenario Hedging:</w:t>
      </w:r>
      <w:r>
        <w:t xml:space="preserve"> Prepare for multiple futures while driving toward preferred outcome</w:t>
      </w:r>
    </w:p>
    <w:p>
      <w:r>
        <w:t xml:space="preserve">3. </w:t>
      </w:r>
      <w:r>
        <w:rPr>
          <w:b/>
        </w:rPr>
        <w:t>Decision Acceleration:</w:t>
      </w:r>
      <w:r>
        <w:t xml:space="preserve"> Compress normal policy timelines to match strategic urgency</w:t>
      </w:r>
    </w:p>
    <w:p>
      <w:r>
        <w:t xml:space="preserve">4. </w:t>
      </w:r>
      <w:r>
        <w:rPr>
          <w:b/>
        </w:rPr>
        <w:t>Allied Coordination:</w:t>
      </w:r>
      <w:r>
        <w:t xml:space="preserve"> Align scenario planning with NATO/EU partners</w:t>
      </w:r>
    </w:p>
    <w:p>
      <w:r>
        <w:t>The next 24 months will determine whether Italy emerges as a technology-sovereign Mediterranean power or becomes increasingly dependent on adversary-controlled systems. Early action toward the strategic awakening scenario offers the best probability of preserving Italian technological sovereignty and alliance leadership.</w:t>
      </w:r>
    </w:p>
    <w:p>
      <w:pPr>
        <w:pStyle w:val="ListBullet"/>
      </w:pPr>
    </w:p>
    <w:p>
      <w:pPr>
        <w:pStyle w:val="ListBullet"/>
      </w:pPr>
      <w:r>
        <w:t>Next Phase: Capacity Building Options (Phase 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