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12: Capacity Building Options - Italy Technology Security Assessment</w:t>
      </w:r>
    </w:p>
    <w:p>
      <w:r/>
      <w:r>
        <w:rPr>
          <w:b/>
        </w:rPr>
        <w:t>Generated:</w:t>
      </w:r>
      <w:r>
        <w:t xml:space="preserve"> 2025-09-16</w:t>
      </w:r>
    </w:p>
    <w:p>
      <w:r/>
      <w:r>
        <w:rPr>
          <w:b/>
        </w:rPr>
        <w:t>Sources:</w:t>
      </w:r>
      <w:r>
        <w:t xml:space="preserve"> ChatGPT Phase Documents + Claude Analysis</w:t>
      </w:r>
    </w:p>
    <w:p>
      <w:r/>
      <w:r>
        <w:rPr>
          <w:b/>
        </w:rPr>
        <w:t>Classification:</w:t>
      </w:r>
      <w:r>
        <w:t xml:space="preserve"> OSINT Synthesis</w:t>
      </w:r>
    </w:p>
    <w:p>
      <w:pPr>
        <w:pStyle w:val="Heading1"/>
      </w:pPr>
      <w:r>
        <w:t>Executive Summary</w:t>
      </w:r>
    </w:p>
    <w:p>
      <w:r>
        <w:t>Phase 12 identifies 37 capacity building initiatives across institutional, technological, and human capital domains to enhance Italy's technology security posture. The analysis prioritizes 12 critical capabilities requiring immediate development and estimates €2.8B in total investment over 5 years to achieve strategic technology sovereignty.</w:t>
      </w:r>
    </w:p>
    <w:p>
      <w:pPr>
        <w:pStyle w:val="Heading1"/>
      </w:pPr>
      <w:r>
        <w:t>Capacity Assessment Framework</w:t>
      </w:r>
    </w:p>
    <w:p>
      <w:pPr>
        <w:pStyle w:val="Heading2"/>
      </w:pPr>
      <w:r>
        <w:t>Current Capability Baseline</w:t>
      </w:r>
    </w:p>
    <w:p>
      <w:r/>
      <w:r>
        <w:rPr>
          <w:b/>
        </w:rPr>
        <w:t>Institutional Capacity:</w:t>
      </w:r>
      <w:r/>
    </w:p>
    <w:p>
      <w:r>
        <w:t xml:space="preserve">- </w:t>
      </w:r>
      <w:r>
        <w:rPr>
          <w:b/>
        </w:rPr>
        <w:t>Technology Security Authority:</w:t>
      </w:r>
      <w:r>
        <w:t xml:space="preserve"> Non-existent (CRITICAL GAP)</w:t>
      </w:r>
    </w:p>
    <w:p>
      <w:r>
        <w:t xml:space="preserve">- </w:t>
      </w:r>
      <w:r>
        <w:rPr>
          <w:b/>
        </w:rPr>
        <w:t>Cross-Sector Coordination:</w:t>
      </w:r>
      <w:r>
        <w:t xml:space="preserve"> Limited (3/10 rating)</w:t>
      </w:r>
    </w:p>
    <w:p>
      <w:r>
        <w:t xml:space="preserve">- </w:t>
      </w:r>
      <w:r>
        <w:rPr>
          <w:b/>
        </w:rPr>
        <w:t>International Collaboration:</w:t>
      </w:r>
      <w:r>
        <w:t xml:space="preserve"> Strong NATO/EU, weak China oversight (6/10)</w:t>
      </w:r>
    </w:p>
    <w:p>
      <w:r>
        <w:t xml:space="preserve">- </w:t>
      </w:r>
      <w:r>
        <w:rPr>
          <w:b/>
        </w:rPr>
        <w:t>Policy Implementation:</w:t>
      </w:r>
      <w:r>
        <w:t xml:space="preserve"> Moderate effectiveness (5/10)</w:t>
      </w:r>
    </w:p>
    <w:p>
      <w:r/>
      <w:r>
        <w:rPr>
          <w:b/>
        </w:rPr>
        <w:t>Technological Capacity:</w:t>
      </w:r>
      <w:r/>
    </w:p>
    <w:p>
      <w:r>
        <w:t xml:space="preserve">- </w:t>
      </w:r>
      <w:r>
        <w:rPr>
          <w:b/>
        </w:rPr>
        <w:t>Indigenous R&amp;D:</w:t>
      </w:r>
      <w:r>
        <w:t xml:space="preserve"> 1.45% GDP (below requirements)</w:t>
      </w:r>
    </w:p>
    <w:p>
      <w:r>
        <w:t xml:space="preserve">- </w:t>
      </w:r>
      <w:r>
        <w:rPr>
          <w:b/>
        </w:rPr>
        <w:t>Defense Industrial Base:</w:t>
      </w:r>
      <w:r>
        <w:t xml:space="preserve"> Strong but dependent (7/10)</w:t>
      </w:r>
    </w:p>
    <w:p>
      <w:r>
        <w:t xml:space="preserve">- </w:t>
      </w:r>
      <w:r>
        <w:rPr>
          <w:b/>
        </w:rPr>
        <w:t>Emerging Technologies:</w:t>
      </w:r>
      <w:r>
        <w:t xml:space="preserve"> Mixed performance (5/10)</w:t>
      </w:r>
    </w:p>
    <w:p>
      <w:r>
        <w:t xml:space="preserve">- </w:t>
      </w:r>
      <w:r>
        <w:rPr>
          <w:b/>
        </w:rPr>
        <w:t>Supply Chain Control:</w:t>
      </w:r>
      <w:r>
        <w:t xml:space="preserve"> Weak visibility (3/10)</w:t>
      </w:r>
    </w:p>
    <w:p>
      <w:r/>
      <w:r>
        <w:rPr>
          <w:b/>
        </w:rPr>
        <w:t>Human Capital:</w:t>
      </w:r>
      <w:r/>
    </w:p>
    <w:p>
      <w:r>
        <w:t xml:space="preserve">- </w:t>
      </w:r>
      <w:r>
        <w:rPr>
          <w:b/>
        </w:rPr>
        <w:t>Security-Cleared Personnel:</w:t>
      </w:r>
      <w:r>
        <w:t xml:space="preserve"> Insufficient for requirements (4/10)</w:t>
      </w:r>
    </w:p>
    <w:p>
      <w:r>
        <w:t xml:space="preserve">- </w:t>
      </w:r>
      <w:r>
        <w:rPr>
          <w:b/>
        </w:rPr>
        <w:t>Technical Expertise:</w:t>
      </w:r>
      <w:r>
        <w:t xml:space="preserve"> Strong in traditional domains (7/10)</w:t>
      </w:r>
    </w:p>
    <w:p>
      <w:r>
        <w:t xml:space="preserve">- </w:t>
      </w:r>
      <w:r>
        <w:rPr>
          <w:b/>
        </w:rPr>
        <w:t>Threat Analysis:</w:t>
      </w:r>
      <w:r>
        <w:t xml:space="preserve"> Limited China-focused capability (3/10)</w:t>
      </w:r>
    </w:p>
    <w:p>
      <w:r>
        <w:t xml:space="preserve">- </w:t>
      </w:r>
      <w:r>
        <w:rPr>
          <w:b/>
        </w:rPr>
        <w:t>Crisis Response:</w:t>
      </w:r>
      <w:r>
        <w:t xml:space="preserve"> Untested systems (5/10)</w:t>
      </w:r>
    </w:p>
    <w:p>
      <w:pPr>
        <w:pStyle w:val="Heading1"/>
      </w:pPr>
      <w:r>
        <w:t>Priority Capacity Building Programs</w:t>
      </w:r>
    </w:p>
    <w:p>
      <w:pPr>
        <w:pStyle w:val="Heading2"/>
      </w:pPr>
      <w:r>
        <w:t>Tier 1: Critical Immediate Needs (0-12 months)</w:t>
      </w:r>
    </w:p>
    <w:p>
      <w:pPr>
        <w:pStyle w:val="Heading3"/>
      </w:pPr>
      <w:r>
        <w:t>Program 1: National Technology Security Authority</w:t>
      </w:r>
    </w:p>
    <w:p>
      <w:r/>
      <w:r>
        <w:rPr>
          <w:b/>
        </w:rPr>
        <w:t>Objective:</w:t>
      </w:r>
      <w:r>
        <w:t xml:space="preserve"> Establish centralized oversight of dual-use technology security</w:t>
      </w:r>
    </w:p>
    <w:p>
      <w:r/>
      <w:r>
        <w:rPr>
          <w:b/>
        </w:rPr>
        <w:t>Investment Required:</w:t>
      </w:r>
      <w:r>
        <w:t xml:space="preserve"> €45M (setup), €25M/year (operations)</w:t>
      </w:r>
    </w:p>
    <w:p>
      <w:r/>
      <w:r>
        <w:rPr>
          <w:b/>
        </w:rPr>
        <w:t>Personnel:</w:t>
      </w:r>
      <w:r>
        <w:t xml:space="preserve"> 150 security-cleared analysts and investigators</w:t>
      </w:r>
    </w:p>
    <w:p>
      <w:r/>
      <w:r>
        <w:rPr>
          <w:b/>
        </w:rPr>
        <w:t>Timeline:</w:t>
      </w:r>
      <w:r>
        <w:t xml:space="preserve"> 6 months to operational capability</w:t>
      </w:r>
    </w:p>
    <w:p>
      <w:r/>
      <w:r>
        <w:rPr>
          <w:b/>
        </w:rPr>
        <w:t>Core Functions:</w:t>
      </w:r>
      <w:r/>
    </w:p>
    <w:p>
      <w:pPr>
        <w:pStyle w:val="ListBullet"/>
      </w:pPr>
      <w:r>
        <w:t>MoU and international agreement oversight</w:t>
      </w:r>
    </w:p>
    <w:p>
      <w:pPr>
        <w:pStyle w:val="ListBullet"/>
      </w:pPr>
      <w:r>
        <w:t>Academic collaboration security review</w:t>
      </w:r>
    </w:p>
    <w:p>
      <w:pPr>
        <w:pStyle w:val="ListBullet"/>
      </w:pPr>
      <w:r>
        <w:t>Conference intelligence coordination</w:t>
      </w:r>
    </w:p>
    <w:p>
      <w:pPr>
        <w:pStyle w:val="ListBullet"/>
      </w:pPr>
      <w:r>
        <w:t>Technology transfer risk assessment</w:t>
      </w:r>
    </w:p>
    <w:p>
      <w:r/>
      <w:r>
        <w:rPr>
          <w:b/>
        </w:rPr>
        <w:t>Success Metrics:</w:t>
      </w:r>
      <w:r/>
    </w:p>
    <w:p>
      <w:pPr>
        <w:pStyle w:val="ListBullet"/>
      </w:pPr>
      <w:r>
        <w:t>100% international agreement registration</w:t>
      </w:r>
    </w:p>
    <w:p>
      <w:pPr>
        <w:pStyle w:val="ListBullet"/>
      </w:pPr>
      <w:r>
        <w:t>90% reduction in unvetted technology collaborations</w:t>
      </w:r>
    </w:p>
    <w:p>
      <w:pPr>
        <w:pStyle w:val="ListBullet"/>
      </w:pPr>
      <w:r>
        <w:t>Real-time threat assessment capability</w:t>
      </w:r>
    </w:p>
    <w:p>
      <w:pPr>
        <w:pStyle w:val="ListBullet"/>
      </w:pPr>
      <w:r>
        <w:t>Cross-sector coordination effectiveness &gt;80%</w:t>
      </w:r>
    </w:p>
    <w:p>
      <w:pPr>
        <w:pStyle w:val="Heading3"/>
      </w:pPr>
      <w:r>
        <w:t>Program 2: Chinese Researcher Census and Monitoring</w:t>
      </w:r>
    </w:p>
    <w:p>
      <w:r/>
      <w:r>
        <w:rPr>
          <w:b/>
        </w:rPr>
        <w:t>Objective:</w:t>
      </w:r>
      <w:r>
        <w:t xml:space="preserve"> Quantify and monitor Chinese academic/research presence</w:t>
      </w:r>
    </w:p>
    <w:p>
      <w:r/>
      <w:r>
        <w:rPr>
          <w:b/>
        </w:rPr>
        <w:t>Investment Required:</w:t>
      </w:r>
      <w:r>
        <w:t xml:space="preserve"> €12M implementation, €8M/year operations</w:t>
      </w:r>
    </w:p>
    <w:p>
      <w:r/>
      <w:r>
        <w:rPr>
          <w:b/>
        </w:rPr>
        <w:t>Personnel:</w:t>
      </w:r>
      <w:r>
        <w:t xml:space="preserve"> 25 dedicated analysts</w:t>
      </w:r>
    </w:p>
    <w:p>
      <w:r/>
      <w:r>
        <w:rPr>
          <w:b/>
        </w:rPr>
        <w:t>Timeline:</w:t>
      </w:r>
      <w:r>
        <w:t xml:space="preserve"> 3 months for initial census, ongoing monitoring</w:t>
      </w:r>
    </w:p>
    <w:p>
      <w:r/>
      <w:r>
        <w:rPr>
          <w:b/>
        </w:rPr>
        <w:t>Deliverables:</w:t>
      </w:r>
      <w:r/>
    </w:p>
    <w:p>
      <w:pPr>
        <w:pStyle w:val="ListBullet"/>
      </w:pPr>
      <w:r>
        <w:t>Complete database of Chinese researchers in Italian institutions</w:t>
      </w:r>
    </w:p>
    <w:p>
      <w:pPr>
        <w:pStyle w:val="ListBullet"/>
      </w:pPr>
      <w:r>
        <w:t>Risk assessment for each individual based on research domain</w:t>
      </w:r>
    </w:p>
    <w:p>
      <w:pPr>
        <w:pStyle w:val="ListBullet"/>
      </w:pPr>
      <w:r>
        <w:t>Real-time monitoring of research activities and collaborations</w:t>
      </w:r>
    </w:p>
    <w:p>
      <w:pPr>
        <w:pStyle w:val="ListBullet"/>
      </w:pPr>
      <w:r>
        <w:t>Quarterly threat assessment reports</w:t>
      </w:r>
    </w:p>
    <w:p>
      <w:pPr>
        <w:pStyle w:val="Heading3"/>
      </w:pPr>
      <w:r>
        <w:t>Program 3: Conference Intelligence System</w:t>
      </w:r>
    </w:p>
    <w:p>
      <w:r/>
      <w:r>
        <w:rPr>
          <w:b/>
        </w:rPr>
        <w:t>Objective:</w:t>
      </w:r>
      <w:r>
        <w:t xml:space="preserve"> Systematic monitoring of technology disclosure at international events</w:t>
      </w:r>
    </w:p>
    <w:p>
      <w:r/>
      <w:r>
        <w:rPr>
          <w:b/>
        </w:rPr>
        <w:t>Investment Required:</w:t>
      </w:r>
      <w:r>
        <w:t xml:space="preserve"> €8M system development, €3M/year operations</w:t>
      </w:r>
    </w:p>
    <w:p>
      <w:r/>
      <w:r>
        <w:rPr>
          <w:b/>
        </w:rPr>
        <w:t>Personnel:</w:t>
      </w:r>
      <w:r>
        <w:t xml:space="preserve"> 15 intelligence analysts</w:t>
      </w:r>
    </w:p>
    <w:p>
      <w:r/>
      <w:r>
        <w:rPr>
          <w:b/>
        </w:rPr>
        <w:t>Timeline:</w:t>
      </w:r>
      <w:r>
        <w:t xml:space="preserve"> 4 months to initial operational capability</w:t>
      </w:r>
    </w:p>
    <w:p>
      <w:r/>
      <w:r>
        <w:rPr>
          <w:b/>
        </w:rPr>
        <w:t>Capabilities:</w:t>
      </w:r>
      <w:r/>
    </w:p>
    <w:p>
      <w:pPr>
        <w:pStyle w:val="ListBullet"/>
      </w:pPr>
      <w:r>
        <w:t>Real-time conference participation tracking</w:t>
      </w:r>
    </w:p>
    <w:p>
      <w:pPr>
        <w:pStyle w:val="ListBullet"/>
      </w:pPr>
      <w:r>
        <w:t>Technology disclosure risk assessment</w:t>
      </w:r>
    </w:p>
    <w:p>
      <w:pPr>
        <w:pStyle w:val="ListBullet"/>
      </w:pPr>
      <w:r>
        <w:t>Side meeting monitoring and analysis</w:t>
      </w:r>
    </w:p>
    <w:p>
      <w:pPr>
        <w:pStyle w:val="ListBullet"/>
      </w:pPr>
      <w:r>
        <w:t>Post-conference follow-up investigation</w:t>
      </w:r>
    </w:p>
    <w:p>
      <w:pPr>
        <w:pStyle w:val="Heading2"/>
      </w:pPr>
      <w:r>
        <w:t>Tier 2: Foundational Capabilities (6-24 months)</w:t>
      </w:r>
    </w:p>
    <w:p>
      <w:pPr>
        <w:pStyle w:val="Heading3"/>
      </w:pPr>
      <w:r>
        <w:t>Program 4: Supply Chain Security Center</w:t>
      </w:r>
    </w:p>
    <w:p>
      <w:r/>
      <w:r>
        <w:rPr>
          <w:b/>
        </w:rPr>
        <w:t>Objective:</w:t>
      </w:r>
      <w:r>
        <w:t xml:space="preserve"> Complete visibility and control over critical technology supply chains</w:t>
      </w:r>
    </w:p>
    <w:p>
      <w:r/>
      <w:r>
        <w:rPr>
          <w:b/>
        </w:rPr>
        <w:t>Investment Required:</w:t>
      </w:r>
      <w:r>
        <w:t xml:space="preserve"> €35M establishment, €15M/year operations</w:t>
      </w:r>
    </w:p>
    <w:p>
      <w:r/>
      <w:r>
        <w:rPr>
          <w:b/>
        </w:rPr>
        <w:t>Personnel:</w:t>
      </w:r>
      <w:r>
        <w:t xml:space="preserve"> 75 supply chain analysts and investigators</w:t>
      </w:r>
    </w:p>
    <w:p>
      <w:r/>
      <w:r>
        <w:rPr>
          <w:b/>
        </w:rPr>
        <w:t>Timeline:</w:t>
      </w:r>
      <w:r>
        <w:t xml:space="preserve"> 12 months to full capability</w:t>
      </w:r>
    </w:p>
    <w:p>
      <w:r/>
      <w:r>
        <w:rPr>
          <w:b/>
        </w:rPr>
        <w:t>Core Functions:</w:t>
      </w:r>
      <w:r/>
    </w:p>
    <w:p>
      <w:pPr>
        <w:pStyle w:val="ListBullet"/>
      </w:pPr>
      <w:r>
        <w:t>Tier 2-3 supplier mapping and verification</w:t>
      </w:r>
    </w:p>
    <w:p>
      <w:pPr>
        <w:pStyle w:val="ListBullet"/>
      </w:pPr>
      <w:r>
        <w:t>Component-level Chinese involvement detection</w:t>
      </w:r>
    </w:p>
    <w:p>
      <w:pPr>
        <w:pStyle w:val="ListBullet"/>
      </w:pPr>
      <w:r>
        <w:t>Alternative sourcing development coordination</w:t>
      </w:r>
    </w:p>
    <w:p>
      <w:pPr>
        <w:pStyle w:val="ListBullet"/>
      </w:pPr>
      <w:r>
        <w:t>Supply chain stress testing and scenario planning</w:t>
      </w:r>
    </w:p>
    <w:p>
      <w:pPr>
        <w:pStyle w:val="Heading3"/>
      </w:pPr>
      <w:r>
        <w:t>Program 5: Technology Investment Screening Enhancement</w:t>
      </w:r>
    </w:p>
    <w:p>
      <w:r/>
      <w:r>
        <w:rPr>
          <w:b/>
        </w:rPr>
        <w:t>Objective:</w:t>
      </w:r>
      <w:r>
        <w:t xml:space="preserve"> Comprehensive screening of all technology-relevant investments</w:t>
      </w:r>
    </w:p>
    <w:p>
      <w:r/>
      <w:r>
        <w:rPr>
          <w:b/>
        </w:rPr>
        <w:t>Investment Required:</w:t>
      </w:r>
      <w:r>
        <w:t xml:space="preserve"> €18M system upgrade, €6M/year additional operations</w:t>
      </w:r>
    </w:p>
    <w:p>
      <w:r/>
      <w:r>
        <w:rPr>
          <w:b/>
        </w:rPr>
        <w:t>Personnel:</w:t>
      </w:r>
      <w:r>
        <w:t xml:space="preserve"> 30 additional screening analysts</w:t>
      </w:r>
    </w:p>
    <w:p>
      <w:r/>
      <w:r>
        <w:rPr>
          <w:b/>
        </w:rPr>
        <w:t>Timeline:</w:t>
      </w:r>
      <w:r>
        <w:t xml:space="preserve"> 8 months to enhanced capability</w:t>
      </w:r>
    </w:p>
    <w:p>
      <w:r/>
      <w:r>
        <w:rPr>
          <w:b/>
        </w:rPr>
        <w:t>Enhanced Capabilities:</w:t>
      </w:r>
      <w:r/>
    </w:p>
    <w:p>
      <w:pPr>
        <w:pStyle w:val="ListBullet"/>
      </w:pPr>
      <w:r>
        <w:t>Beneficial ownership transparency enforcement</w:t>
      </w:r>
    </w:p>
    <w:p>
      <w:pPr>
        <w:pStyle w:val="ListBullet"/>
      </w:pPr>
      <w:r>
        <w:t>Third-country routing detection systems</w:t>
      </w:r>
    </w:p>
    <w:p>
      <w:pPr>
        <w:pStyle w:val="ListBullet"/>
      </w:pPr>
      <w:r>
        <w:t>Academic funding source verification</w:t>
      </w:r>
    </w:p>
    <w:p>
      <w:pPr>
        <w:pStyle w:val="ListBullet"/>
      </w:pPr>
      <w:r>
        <w:t>Real-time investment flow monitoring</w:t>
      </w:r>
    </w:p>
    <w:p>
      <w:pPr>
        <w:pStyle w:val="Heading3"/>
      </w:pPr>
      <w:r>
        <w:t>Program 6: Allied Intelligence Sharing Platform</w:t>
      </w:r>
    </w:p>
    <w:p>
      <w:r/>
      <w:r>
        <w:rPr>
          <w:b/>
        </w:rPr>
        <w:t>Objective:</w:t>
      </w:r>
      <w:r>
        <w:t xml:space="preserve"> Integrate with NATO/EU technology threat intelligence networks</w:t>
      </w:r>
    </w:p>
    <w:p>
      <w:r/>
      <w:r>
        <w:rPr>
          <w:b/>
        </w:rPr>
        <w:t>Investment Required:</w:t>
      </w:r>
      <w:r>
        <w:t xml:space="preserve"> €25M system development, €5M/year operations</w:t>
      </w:r>
    </w:p>
    <w:p>
      <w:r/>
      <w:r>
        <w:rPr>
          <w:b/>
        </w:rPr>
        <w:t>Personnel:</w:t>
      </w:r>
      <w:r>
        <w:t xml:space="preserve"> 20 intelligence coordination specialists</w:t>
      </w:r>
    </w:p>
    <w:p>
      <w:r/>
      <w:r>
        <w:rPr>
          <w:b/>
        </w:rPr>
        <w:t>Timeline:</w:t>
      </w:r>
      <w:r>
        <w:t xml:space="preserve"> 18 months to full integration</w:t>
      </w:r>
    </w:p>
    <w:p>
      <w:pPr>
        <w:pStyle w:val="Heading2"/>
      </w:pPr>
      <w:r>
        <w:t>Tier 3: Advanced Capabilities (12-36 months)</w:t>
      </w:r>
    </w:p>
    <w:p>
      <w:pPr>
        <w:pStyle w:val="Heading3"/>
      </w:pPr>
      <w:r>
        <w:t>Program 7: Quantum Technology Sovereignty Initiative</w:t>
      </w:r>
    </w:p>
    <w:p>
      <w:r/>
      <w:r>
        <w:rPr>
          <w:b/>
        </w:rPr>
        <w:t>Objective:</w:t>
      </w:r>
      <w:r>
        <w:t xml:space="preserve"> Develop indigenous quantum computing capabilities</w:t>
      </w:r>
    </w:p>
    <w:p>
      <w:r/>
      <w:r>
        <w:rPr>
          <w:b/>
        </w:rPr>
        <w:t>Investment Required:</w:t>
      </w:r>
      <w:r>
        <w:t xml:space="preserve"> €200M over 5 years</w:t>
      </w:r>
    </w:p>
    <w:p>
      <w:r/>
      <w:r>
        <w:rPr>
          <w:b/>
        </w:rPr>
        <w:t>Personnel:</w:t>
      </w:r>
      <w:r>
        <w:t xml:space="preserve"> 100 quantum researchers and engineers</w:t>
      </w:r>
    </w:p>
    <w:p>
      <w:r/>
      <w:r>
        <w:rPr>
          <w:b/>
        </w:rPr>
        <w:t>Timeline:</w:t>
      </w:r>
      <w:r>
        <w:t xml:space="preserve"> 36 months to initial capability</w:t>
      </w:r>
    </w:p>
    <w:p>
      <w:r/>
      <w:r>
        <w:rPr>
          <w:b/>
        </w:rPr>
        <w:t>Technology Targets:</w:t>
      </w:r>
      <w:r/>
    </w:p>
    <w:p>
      <w:pPr>
        <w:pStyle w:val="ListBullet"/>
      </w:pPr>
      <w:r>
        <w:t>Indigenous cryogenic systems (reduce Bluefors dependency)</w:t>
      </w:r>
    </w:p>
    <w:p>
      <w:pPr>
        <w:pStyle w:val="ListBullet"/>
      </w:pPr>
      <w:r>
        <w:t>Quantum algorithm development for defense applications</w:t>
      </w:r>
    </w:p>
    <w:p>
      <w:pPr>
        <w:pStyle w:val="ListBullet"/>
      </w:pPr>
      <w:r>
        <w:t>Quantum-secured communications infrastructure</w:t>
      </w:r>
    </w:p>
    <w:p>
      <w:pPr>
        <w:pStyle w:val="ListBullet"/>
      </w:pPr>
      <w:r>
        <w:t>Commercial quantum computing platforms</w:t>
      </w:r>
    </w:p>
    <w:p>
      <w:pPr>
        <w:pStyle w:val="Heading3"/>
      </w:pPr>
      <w:r>
        <w:t>Program 8: Semiconductor Independence Program</w:t>
      </w:r>
    </w:p>
    <w:p>
      <w:r/>
      <w:r>
        <w:rPr>
          <w:b/>
        </w:rPr>
        <w:t>Objective:</w:t>
      </w:r>
      <w:r>
        <w:t xml:space="preserve"> Reduce critical semiconductor dependencies</w:t>
      </w:r>
    </w:p>
    <w:p>
      <w:r/>
      <w:r>
        <w:rPr>
          <w:b/>
        </w:rPr>
        <w:t>Investment Required:</w:t>
      </w:r>
      <w:r>
        <w:t xml:space="preserve"> €500M over 7 years (EU co-funding expected)</w:t>
      </w:r>
    </w:p>
    <w:p>
      <w:r/>
      <w:r>
        <w:rPr>
          <w:b/>
        </w:rPr>
        <w:t>Personnel:</w:t>
      </w:r>
      <w:r>
        <w:t xml:space="preserve"> 200 semiconductor engineers and technicians</w:t>
      </w:r>
    </w:p>
    <w:p>
      <w:r/>
      <w:r>
        <w:rPr>
          <w:b/>
        </w:rPr>
        <w:t>Timeline:</w:t>
      </w:r>
      <w:r>
        <w:t xml:space="preserve"> 24 months to pilot production</w:t>
      </w:r>
    </w:p>
    <w:p>
      <w:r/>
      <w:r>
        <w:rPr>
          <w:b/>
        </w:rPr>
        <w:t>Capabilities:</w:t>
      </w:r>
      <w:r/>
    </w:p>
    <w:p>
      <w:pPr>
        <w:pStyle w:val="ListBullet"/>
      </w:pPr>
      <w:r>
        <w:t>Sub-28nm logic production capability</w:t>
      </w:r>
    </w:p>
    <w:p>
      <w:pPr>
        <w:pStyle w:val="ListBullet"/>
      </w:pPr>
      <w:r>
        <w:t>SiC power semiconductor expansion</w:t>
      </w:r>
    </w:p>
    <w:p>
      <w:pPr>
        <w:pStyle w:val="ListBullet"/>
      </w:pPr>
      <w:r>
        <w:t>Security-focused semiconductor design</w:t>
      </w:r>
    </w:p>
    <w:p>
      <w:pPr>
        <w:pStyle w:val="ListBullet"/>
      </w:pPr>
      <w:r>
        <w:t>Alternative rare earth material development</w:t>
      </w:r>
    </w:p>
    <w:p>
      <w:pPr>
        <w:pStyle w:val="Heading1"/>
      </w:pPr>
      <w:r>
        <w:t>Human Capital Development</w:t>
      </w:r>
    </w:p>
    <w:p>
      <w:pPr>
        <w:pStyle w:val="Heading2"/>
      </w:pPr>
      <w:r>
        <w:t>Security-Cleared Personnel Expansion</w:t>
      </w:r>
    </w:p>
    <w:p>
      <w:r/>
      <w:r>
        <w:rPr>
          <w:b/>
        </w:rPr>
        <w:t>Current Gap:</w:t>
      </w:r>
      <w:r>
        <w:t xml:space="preserve"> 400 additional security-cleared positions needed</w:t>
      </w:r>
    </w:p>
    <w:p>
      <w:r/>
      <w:r>
        <w:rPr>
          <w:b/>
        </w:rPr>
        <w:t>Investment:</w:t>
      </w:r>
      <w:r>
        <w:t xml:space="preserve"> €15M recruitment and training over 3 years</w:t>
      </w:r>
    </w:p>
    <w:p>
      <w:r/>
      <w:r>
        <w:rPr>
          <w:b/>
        </w:rPr>
        <w:t>Focus Areas:</w:t>
      </w:r>
      <w:r/>
    </w:p>
    <w:p>
      <w:pPr>
        <w:pStyle w:val="ListBullet"/>
      </w:pPr>
      <w:r>
        <w:t>Technology threat analysis</w:t>
      </w:r>
    </w:p>
    <w:p>
      <w:pPr>
        <w:pStyle w:val="ListBullet"/>
      </w:pPr>
      <w:r>
        <w:t>Supply chain investigation</w:t>
      </w:r>
    </w:p>
    <w:p>
      <w:pPr>
        <w:pStyle w:val="ListBullet"/>
      </w:pPr>
      <w:r>
        <w:t>Academic collaboration assessment</w:t>
      </w:r>
    </w:p>
    <w:p>
      <w:pPr>
        <w:pStyle w:val="ListBullet"/>
      </w:pPr>
      <w:r>
        <w:t>Cyber intelligence analysis</w:t>
      </w:r>
    </w:p>
    <w:p>
      <w:pPr>
        <w:pStyle w:val="Heading2"/>
      </w:pPr>
      <w:r>
        <w:t>Technical Expertise Development</w:t>
      </w:r>
    </w:p>
    <w:p>
      <w:r/>
      <w:r>
        <w:rPr>
          <w:b/>
        </w:rPr>
        <w:t>China Studies Programs:</w:t>
      </w:r>
      <w:r/>
    </w:p>
    <w:p>
      <w:pPr>
        <w:pStyle w:val="ListBullet"/>
      </w:pPr>
      <w:r>
        <w:t>Chinese technology strategy analysis capability</w:t>
      </w:r>
    </w:p>
    <w:p>
      <w:pPr>
        <w:pStyle w:val="ListBullet"/>
      </w:pPr>
      <w:r>
        <w:t>Mandarin language training for investigators</w:t>
      </w:r>
    </w:p>
    <w:p>
      <w:pPr>
        <w:pStyle w:val="ListBullet"/>
      </w:pPr>
      <w:r>
        <w:t>PRC institutional knowledge development</w:t>
      </w:r>
    </w:p>
    <w:p>
      <w:pPr>
        <w:pStyle w:val="ListBullet"/>
      </w:pPr>
      <w:r>
        <w:t>Cultural intelligence training</w:t>
      </w:r>
    </w:p>
    <w:p>
      <w:r/>
      <w:r>
        <w:rPr>
          <w:b/>
        </w:rPr>
        <w:t>Emerging Technology Competencies:</w:t>
      </w:r>
      <w:r/>
    </w:p>
    <w:p>
      <w:pPr>
        <w:pStyle w:val="ListBullet"/>
      </w:pPr>
      <w:r>
        <w:t>Quantum computing threat assessment</w:t>
      </w:r>
    </w:p>
    <w:p>
      <w:pPr>
        <w:pStyle w:val="ListBullet"/>
      </w:pPr>
      <w:r>
        <w:t>AI/ML dual-use evaluation</w:t>
      </w:r>
    </w:p>
    <w:p>
      <w:pPr>
        <w:pStyle w:val="ListBullet"/>
      </w:pPr>
      <w:r>
        <w:t>Hypersonic technology analysis</w:t>
      </w:r>
    </w:p>
    <w:p>
      <w:pPr>
        <w:pStyle w:val="ListBullet"/>
      </w:pPr>
      <w:r>
        <w:t>Advanced materials security implications</w:t>
      </w:r>
    </w:p>
    <w:p>
      <w:pPr>
        <w:pStyle w:val="Heading2"/>
      </w:pPr>
      <w:r>
        <w:t>Crisis Response Teams</w:t>
      </w:r>
    </w:p>
    <w:p>
      <w:r/>
      <w:r>
        <w:rPr>
          <w:b/>
        </w:rPr>
        <w:t>Technology Security Crisis Response Unit:</w:t>
      </w:r>
      <w:r/>
    </w:p>
    <w:p>
      <w:pPr>
        <w:pStyle w:val="ListBullet"/>
      </w:pPr>
      <w:r>
        <w:t>24/7 incident response capability</w:t>
      </w:r>
    </w:p>
    <w:p>
      <w:pPr>
        <w:pStyle w:val="ListBullet"/>
      </w:pPr>
      <w:r>
        <w:t>Cross-sector coordination protocols</w:t>
      </w:r>
    </w:p>
    <w:p>
      <w:pPr>
        <w:pStyle w:val="ListBullet"/>
      </w:pPr>
      <w:r>
        <w:t>International liaison capacity</w:t>
      </w:r>
    </w:p>
    <w:p>
      <w:pPr>
        <w:pStyle w:val="ListBullet"/>
      </w:pPr>
      <w:r>
        <w:t>Emergency countermeasure deployment</w:t>
      </w:r>
    </w:p>
    <w:p>
      <w:pPr>
        <w:pStyle w:val="Heading1"/>
      </w:pPr>
      <w:r>
        <w:t>Institutional Development Framework</w:t>
      </w:r>
    </w:p>
    <w:p>
      <w:pPr>
        <w:pStyle w:val="Heading2"/>
      </w:pPr>
      <w:r>
        <w:t>Legislative Requirements</w:t>
      </w:r>
    </w:p>
    <w:p>
      <w:r/>
      <w:r>
        <w:rPr>
          <w:b/>
        </w:rPr>
        <w:t>Technology Security Act:</w:t>
      </w:r>
      <w:r/>
    </w:p>
    <w:p>
      <w:pPr>
        <w:pStyle w:val="ListBullet"/>
      </w:pPr>
      <w:r>
        <w:t>Legal framework for oversight authority</w:t>
      </w:r>
    </w:p>
    <w:p>
      <w:pPr>
        <w:pStyle w:val="ListBullet"/>
      </w:pPr>
      <w:r>
        <w:t>Mandatory reporting requirements</w:t>
      </w:r>
    </w:p>
    <w:p>
      <w:pPr>
        <w:pStyle w:val="ListBullet"/>
      </w:pPr>
      <w:r>
        <w:t>Penalties for non-compliance</w:t>
      </w:r>
    </w:p>
    <w:p>
      <w:pPr>
        <w:pStyle w:val="ListBullet"/>
      </w:pPr>
      <w:r>
        <w:t>International cooperation authorities</w:t>
      </w:r>
    </w:p>
    <w:p>
      <w:r/>
      <w:r>
        <w:rPr>
          <w:b/>
        </w:rPr>
        <w:t>Enhanced Golden Power Legislation:</w:t>
      </w:r>
      <w:r/>
    </w:p>
    <w:p>
      <w:pPr>
        <w:pStyle w:val="ListBullet"/>
      </w:pPr>
      <w:r>
        <w:t>Expanded scope to academic/early-stage funding</w:t>
      </w:r>
    </w:p>
    <w:p>
      <w:pPr>
        <w:pStyle w:val="ListBullet"/>
      </w:pPr>
      <w:r>
        <w:t>Beneficial ownership transparency requirements</w:t>
      </w:r>
    </w:p>
    <w:p>
      <w:pPr>
        <w:pStyle w:val="ListBullet"/>
      </w:pPr>
      <w:r>
        <w:t>Retroactive investigation authorities</w:t>
      </w:r>
    </w:p>
    <w:p>
      <w:pPr>
        <w:pStyle w:val="ListBullet"/>
      </w:pPr>
      <w:r>
        <w:t>Allied coordination mechanisms</w:t>
      </w:r>
    </w:p>
    <w:p>
      <w:pPr>
        <w:pStyle w:val="Heading2"/>
      </w:pPr>
      <w:r>
        <w:t>Organizational Structure</w:t>
      </w:r>
    </w:p>
    <w:p>
      <w:r/>
      <w:r>
        <w:rPr>
          <w:b/>
        </w:rPr>
        <w:t>National Technology Security Council:</w:t>
      </w:r>
      <w:r/>
    </w:p>
    <w:p>
      <w:pPr>
        <w:pStyle w:val="ListBullet"/>
      </w:pPr>
      <w:r>
        <w:t>Prime Minister leadership</w:t>
      </w:r>
    </w:p>
    <w:p>
      <w:pPr>
        <w:pStyle w:val="ListBullet"/>
      </w:pPr>
      <w:r>
        <w:t>Inter-ministerial coordination</w:t>
      </w:r>
    </w:p>
    <w:p>
      <w:pPr>
        <w:pStyle w:val="ListBullet"/>
      </w:pPr>
      <w:r>
        <w:t>Industry liaison capability</w:t>
      </w:r>
    </w:p>
    <w:p>
      <w:pPr>
        <w:pStyle w:val="ListBullet"/>
      </w:pPr>
      <w:r>
        <w:t>Parliamentary oversight integration</w:t>
      </w:r>
    </w:p>
    <w:p>
      <w:r/>
      <w:r>
        <w:rPr>
          <w:b/>
        </w:rPr>
        <w:t>Regional Implementation Networks:</w:t>
      </w:r>
      <w:r/>
    </w:p>
    <w:p>
      <w:pPr>
        <w:pStyle w:val="ListBullet"/>
      </w:pPr>
      <w:r>
        <w:t>Northern Italy: Industrial focus (Milan, Turin)</w:t>
      </w:r>
    </w:p>
    <w:p>
      <w:pPr>
        <w:pStyle w:val="ListBullet"/>
      </w:pPr>
      <w:r>
        <w:t>Central Italy: Government/Research focus (Rome, Florence)</w:t>
      </w:r>
    </w:p>
    <w:p>
      <w:pPr>
        <w:pStyle w:val="ListBullet"/>
      </w:pPr>
      <w:r>
        <w:t>Southern Italy: Infrastructure focus (Naples, Bari)</w:t>
      </w:r>
    </w:p>
    <w:p>
      <w:pPr>
        <w:pStyle w:val="Heading1"/>
      </w:pPr>
      <w:r>
        <w:t>Technology Development Priorities</w:t>
      </w:r>
    </w:p>
    <w:p>
      <w:pPr>
        <w:pStyle w:val="Heading2"/>
      </w:pPr>
      <w:r>
        <w:t>Critical Technology Independence</w:t>
      </w:r>
    </w:p>
    <w:p>
      <w:r/>
      <w:r>
        <w:rPr>
          <w:b/>
        </w:rPr>
        <w:t>Priority 1: Quantum Computing (€200M)</w:t>
      </w:r>
      <w:r/>
    </w:p>
    <w:p>
      <w:pPr>
        <w:pStyle w:val="ListBullet"/>
      </w:pPr>
      <w:r>
        <w:t>Cryogenic systems development</w:t>
      </w:r>
    </w:p>
    <w:p>
      <w:pPr>
        <w:pStyle w:val="ListBullet"/>
      </w:pPr>
      <w:r>
        <w:t>Quantum algorithm optimization</w:t>
      </w:r>
    </w:p>
    <w:p>
      <w:pPr>
        <w:pStyle w:val="ListBullet"/>
      </w:pPr>
      <w:r>
        <w:t>Secure quantum communications</w:t>
      </w:r>
    </w:p>
    <w:p>
      <w:pPr>
        <w:pStyle w:val="ListBullet"/>
      </w:pPr>
      <w:r>
        <w:t>Commercial platform development</w:t>
      </w:r>
    </w:p>
    <w:p>
      <w:r/>
      <w:r>
        <w:rPr>
          <w:b/>
        </w:rPr>
        <w:t>Priority 2: Advanced Semiconductors (€500M)</w:t>
      </w:r>
      <w:r/>
    </w:p>
    <w:p>
      <w:pPr>
        <w:pStyle w:val="ListBullet"/>
      </w:pPr>
      <w:r>
        <w:t>Sub-28nm production capability</w:t>
      </w:r>
    </w:p>
    <w:p>
      <w:pPr>
        <w:pStyle w:val="ListBullet"/>
      </w:pPr>
      <w:r>
        <w:t>Power semiconductor expansion</w:t>
      </w:r>
    </w:p>
    <w:p>
      <w:pPr>
        <w:pStyle w:val="ListBullet"/>
      </w:pPr>
      <w:r>
        <w:t>Security-focused design</w:t>
      </w:r>
    </w:p>
    <w:p>
      <w:pPr>
        <w:pStyle w:val="ListBullet"/>
      </w:pPr>
      <w:r>
        <w:t>Alternative materials research</w:t>
      </w:r>
    </w:p>
    <w:p>
      <w:r/>
      <w:r>
        <w:rPr>
          <w:b/>
        </w:rPr>
        <w:t>Priority 3: Space Systems (€300M)</w:t>
      </w:r>
      <w:r/>
    </w:p>
    <w:p>
      <w:pPr>
        <w:pStyle w:val="ListBullet"/>
      </w:pPr>
      <w:r>
        <w:t>Independent satellite capabilities</w:t>
      </w:r>
    </w:p>
    <w:p>
      <w:pPr>
        <w:pStyle w:val="ListBullet"/>
      </w:pPr>
      <w:r>
        <w:t>Advanced EO analytics</w:t>
      </w:r>
    </w:p>
    <w:p>
      <w:pPr>
        <w:pStyle w:val="ListBullet"/>
      </w:pPr>
      <w:r>
        <w:t>Secure communications</w:t>
      </w:r>
    </w:p>
    <w:p>
      <w:pPr>
        <w:pStyle w:val="ListBullet"/>
      </w:pPr>
      <w:r>
        <w:t>Space-based defense systems</w:t>
      </w:r>
    </w:p>
    <w:p>
      <w:r/>
      <w:r>
        <w:rPr>
          <w:b/>
        </w:rPr>
        <w:t>Priority 4: Cyber Defense (€150M)</w:t>
      </w:r>
      <w:r/>
    </w:p>
    <w:p>
      <w:pPr>
        <w:pStyle w:val="ListBullet"/>
      </w:pPr>
      <w:r>
        <w:t>Next-generation cyber tools</w:t>
      </w:r>
    </w:p>
    <w:p>
      <w:pPr>
        <w:pStyle w:val="ListBullet"/>
      </w:pPr>
      <w:r>
        <w:t>AI-powered threat detection</w:t>
      </w:r>
    </w:p>
    <w:p>
      <w:pPr>
        <w:pStyle w:val="ListBullet"/>
      </w:pPr>
      <w:r>
        <w:t>Critical infrastructure protection</w:t>
      </w:r>
    </w:p>
    <w:p>
      <w:pPr>
        <w:pStyle w:val="ListBullet"/>
      </w:pPr>
      <w:r>
        <w:t>Incident response automation</w:t>
      </w:r>
    </w:p>
    <w:p>
      <w:pPr>
        <w:pStyle w:val="Heading2"/>
      </w:pPr>
      <w:r>
        <w:t>Dual-Use Technology Resilience</w:t>
      </w:r>
    </w:p>
    <w:p>
      <w:r/>
      <w:r>
        <w:rPr>
          <w:b/>
        </w:rPr>
        <w:t>Artificial Intelligence:</w:t>
      </w:r>
      <w:r/>
    </w:p>
    <w:p>
      <w:pPr>
        <w:pStyle w:val="ListBullet"/>
      </w:pPr>
      <w:r>
        <w:t>Military AI application development</w:t>
      </w:r>
    </w:p>
    <w:p>
      <w:pPr>
        <w:pStyle w:val="ListBullet"/>
      </w:pPr>
      <w:r>
        <w:t>Ethical AI framework implementation</w:t>
      </w:r>
    </w:p>
    <w:p>
      <w:pPr>
        <w:pStyle w:val="ListBullet"/>
      </w:pPr>
      <w:r>
        <w:t>AI supply chain security</w:t>
      </w:r>
    </w:p>
    <w:p>
      <w:pPr>
        <w:pStyle w:val="ListBullet"/>
      </w:pPr>
      <w:r>
        <w:t>Allied AI cooperation</w:t>
      </w:r>
    </w:p>
    <w:p>
      <w:r/>
      <w:r>
        <w:rPr>
          <w:b/>
        </w:rPr>
        <w:t>Advanced Materials:</w:t>
      </w:r>
      <w:r/>
    </w:p>
    <w:p>
      <w:pPr>
        <w:pStyle w:val="ListBullet"/>
      </w:pPr>
      <w:r>
        <w:t>Rare earth alternative development</w:t>
      </w:r>
    </w:p>
    <w:p>
      <w:pPr>
        <w:pStyle w:val="ListBullet"/>
      </w:pPr>
      <w:r>
        <w:t>High-performance composites</w:t>
      </w:r>
    </w:p>
    <w:p>
      <w:pPr>
        <w:pStyle w:val="ListBullet"/>
      </w:pPr>
      <w:r>
        <w:t>Stealth technology materials</w:t>
      </w:r>
    </w:p>
    <w:p>
      <w:pPr>
        <w:pStyle w:val="ListBullet"/>
      </w:pPr>
      <w:r>
        <w:t>Additive manufacturing security</w:t>
      </w:r>
    </w:p>
    <w:p>
      <w:pPr>
        <w:pStyle w:val="Heading1"/>
      </w:pPr>
      <w:r>
        <w:t>International Cooperation Enhancement</w:t>
      </w:r>
    </w:p>
    <w:p>
      <w:pPr>
        <w:pStyle w:val="Heading2"/>
      </w:pPr>
      <w:r>
        <w:t>NATO Technology Partnerships</w:t>
      </w:r>
    </w:p>
    <w:p>
      <w:r/>
      <w:r>
        <w:rPr>
          <w:b/>
        </w:rPr>
        <w:t>Enhanced Participation:</w:t>
      </w:r>
      <w:r/>
    </w:p>
    <w:p>
      <w:pPr>
        <w:pStyle w:val="ListBullet"/>
      </w:pPr>
      <w:r>
        <w:t>NATO STO leadership roles</w:t>
      </w:r>
    </w:p>
    <w:p>
      <w:pPr>
        <w:pStyle w:val="ListBullet"/>
      </w:pPr>
      <w:r>
        <w:t>DIANA accelerator expansion</w:t>
      </w:r>
    </w:p>
    <w:p>
      <w:pPr>
        <w:pStyle w:val="ListBullet"/>
      </w:pPr>
      <w:r>
        <w:t>Technology sharing agreements</w:t>
      </w:r>
    </w:p>
    <w:p>
      <w:pPr>
        <w:pStyle w:val="ListBullet"/>
      </w:pPr>
      <w:r>
        <w:t>Joint capability development</w:t>
      </w:r>
    </w:p>
    <w:p>
      <w:r/>
      <w:r>
        <w:rPr>
          <w:b/>
        </w:rPr>
        <w:t>Investment:</w:t>
      </w:r>
      <w:r>
        <w:t xml:space="preserve"> €50M over 5 years in NATO programs</w:t>
      </w:r>
    </w:p>
    <w:p>
      <w:r/>
      <w:r>
        <w:rPr>
          <w:b/>
        </w:rPr>
        <w:t>Expected Return:</w:t>
      </w:r>
      <w:r>
        <w:t xml:space="preserve"> Enhanced capability access, cost sharing</w:t>
      </w:r>
    </w:p>
    <w:p>
      <w:pPr>
        <w:pStyle w:val="Heading2"/>
      </w:pPr>
      <w:r>
        <w:t>EU Integration Deepening</w:t>
      </w:r>
    </w:p>
    <w:p>
      <w:r/>
      <w:r>
        <w:rPr>
          <w:b/>
        </w:rPr>
        <w:t>Strategic Programs:</w:t>
      </w:r>
      <w:r/>
    </w:p>
    <w:p>
      <w:pPr>
        <w:pStyle w:val="ListBullet"/>
      </w:pPr>
      <w:r>
        <w:t>European Defence Fund leadership</w:t>
      </w:r>
    </w:p>
    <w:p>
      <w:pPr>
        <w:pStyle w:val="ListBullet"/>
      </w:pPr>
      <w:r>
        <w:t>EU Chips Act implementation</w:t>
      </w:r>
    </w:p>
    <w:p>
      <w:pPr>
        <w:pStyle w:val="ListBullet"/>
      </w:pPr>
      <w:r>
        <w:t>EuroHPC expansion</w:t>
      </w:r>
    </w:p>
    <w:p>
      <w:pPr>
        <w:pStyle w:val="ListBullet"/>
      </w:pPr>
      <w:r>
        <w:t>Quantum Flagship participation</w:t>
      </w:r>
    </w:p>
    <w:p>
      <w:r/>
      <w:r>
        <w:rPr>
          <w:b/>
        </w:rPr>
        <w:t>Investment:</w:t>
      </w:r>
      <w:r>
        <w:t xml:space="preserve"> €75M national co-funding</w:t>
      </w:r>
    </w:p>
    <w:p>
      <w:r/>
      <w:r>
        <w:rPr>
          <w:b/>
        </w:rPr>
        <w:t>Benefits:</w:t>
      </w:r>
      <w:r>
        <w:t xml:space="preserve"> Technology access, market development, cost reduction</w:t>
      </w:r>
    </w:p>
    <w:p>
      <w:pPr>
        <w:pStyle w:val="Heading2"/>
      </w:pPr>
      <w:r>
        <w:t>Indo-Pacific Partnerships</w:t>
      </w:r>
    </w:p>
    <w:p>
      <w:r/>
      <w:r>
        <w:rPr>
          <w:b/>
        </w:rPr>
        <w:t>New Relationships:</w:t>
      </w:r>
      <w:r/>
    </w:p>
    <w:p>
      <w:pPr>
        <w:pStyle w:val="ListBullet"/>
      </w:pPr>
      <w:r>
        <w:t>Japan: Quantum computing, semiconductors</w:t>
      </w:r>
    </w:p>
    <w:p>
      <w:pPr>
        <w:pStyle w:val="ListBullet"/>
      </w:pPr>
      <w:r>
        <w:t>Australia: Cyber defense, space systems</w:t>
      </w:r>
    </w:p>
    <w:p>
      <w:pPr>
        <w:pStyle w:val="ListBullet"/>
      </w:pPr>
      <w:r>
        <w:t>South Korea: Advanced manufacturing, AI</w:t>
      </w:r>
    </w:p>
    <w:p>
      <w:pPr>
        <w:pStyle w:val="ListBullet"/>
      </w:pPr>
      <w:r>
        <w:t>India: Space cooperation, technology sharing</w:t>
      </w:r>
    </w:p>
    <w:p>
      <w:pPr>
        <w:pStyle w:val="Heading1"/>
      </w:pPr>
      <w:r>
        <w:t>Implementation Timeline</w:t>
      </w:r>
    </w:p>
    <w:p>
      <w:pPr>
        <w:pStyle w:val="Heading2"/>
      </w:pPr>
      <w:r>
        <w:t>Phase 1: Foundation (Months 1-12)</w:t>
      </w:r>
    </w:p>
    <w:p>
      <w:pPr>
        <w:pStyle w:val="ListBullet"/>
      </w:pPr>
      <w:r>
        <w:t>National Technology Security Authority establishment</w:t>
      </w:r>
    </w:p>
    <w:p>
      <w:pPr>
        <w:pStyle w:val="ListBullet"/>
      </w:pPr>
      <w:r>
        <w:t>Chinese researcher census completion</w:t>
      </w:r>
    </w:p>
    <w:p>
      <w:pPr>
        <w:pStyle w:val="ListBullet"/>
      </w:pPr>
      <w:r>
        <w:t>Conference intelligence system deployment</w:t>
      </w:r>
    </w:p>
    <w:p>
      <w:pPr>
        <w:pStyle w:val="ListBullet"/>
      </w:pPr>
      <w:r>
        <w:t>Legislative framework passage</w:t>
      </w:r>
    </w:p>
    <w:p>
      <w:pPr>
        <w:pStyle w:val="Heading2"/>
      </w:pPr>
      <w:r>
        <w:t>Phase 2: Capability Building (Months 6-24)</w:t>
      </w:r>
    </w:p>
    <w:p>
      <w:pPr>
        <w:pStyle w:val="ListBullet"/>
      </w:pPr>
      <w:r>
        <w:t>Supply chain security center operations</w:t>
      </w:r>
    </w:p>
    <w:p>
      <w:pPr>
        <w:pStyle w:val="ListBullet"/>
      </w:pPr>
      <w:r>
        <w:t>Enhanced investment screening deployment</w:t>
      </w:r>
    </w:p>
    <w:p>
      <w:pPr>
        <w:pStyle w:val="ListBullet"/>
      </w:pPr>
      <w:r>
        <w:t>Allied intelligence integration</w:t>
      </w:r>
    </w:p>
    <w:p>
      <w:pPr>
        <w:pStyle w:val="ListBullet"/>
      </w:pPr>
      <w:r>
        <w:t>Human capital expansion</w:t>
      </w:r>
    </w:p>
    <w:p>
      <w:pPr>
        <w:pStyle w:val="Heading2"/>
      </w:pPr>
      <w:r>
        <w:t>Phase 3: Technology Development (Months 12-60)</w:t>
      </w:r>
    </w:p>
    <w:p>
      <w:pPr>
        <w:pStyle w:val="ListBullet"/>
      </w:pPr>
      <w:r>
        <w:t>Quantum technology program initiation</w:t>
      </w:r>
    </w:p>
    <w:p>
      <w:pPr>
        <w:pStyle w:val="ListBullet"/>
      </w:pPr>
      <w:r>
        <w:t>Semiconductor independence development</w:t>
      </w:r>
    </w:p>
    <w:p>
      <w:pPr>
        <w:pStyle w:val="ListBullet"/>
      </w:pPr>
      <w:r>
        <w:t>Space systems enhancement</w:t>
      </w:r>
    </w:p>
    <w:p>
      <w:pPr>
        <w:pStyle w:val="ListBullet"/>
      </w:pPr>
      <w:r>
        <w:t>Advanced capabilities deployment</w:t>
      </w:r>
    </w:p>
    <w:p>
      <w:pPr>
        <w:pStyle w:val="Heading1"/>
      </w:pPr>
      <w:r>
        <w:t>Resource Requirements</w:t>
      </w:r>
    </w:p>
    <w:p>
      <w:pPr>
        <w:pStyle w:val="Heading2"/>
      </w:pPr>
      <w:r>
        <w:t>Financial Investment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Program Category</w:t>
            </w:r>
          </w:p>
        </w:tc>
        <w:tc>
          <w:tcPr>
            <w:tcW w:type="dxa" w:w="2160"/>
          </w:tcPr>
          <w:p>
            <w:r>
              <w:rPr>
                <w:b/>
              </w:rPr>
              <w:t>Years 1-2</w:t>
            </w:r>
          </w:p>
        </w:tc>
        <w:tc>
          <w:tcPr>
            <w:tcW w:type="dxa" w:w="2160"/>
          </w:tcPr>
          <w:p>
            <w:r>
              <w:rPr>
                <w:b/>
              </w:rPr>
              <w:t>Years 3-5</w:t>
            </w:r>
          </w:p>
        </w:tc>
        <w:tc>
          <w:tcPr>
            <w:tcW w:type="dxa" w:w="2160"/>
          </w:tcPr>
          <w:p>
            <w:r>
              <w:rPr>
                <w:b/>
              </w:rPr>
              <w:t>Total</w:t>
            </w:r>
          </w:p>
        </w:tc>
      </w:tr>
      <w:tr>
        <w:tc>
          <w:tcPr>
            <w:tcW w:type="dxa" w:w="2160"/>
          </w:tcPr>
          <w:p>
            <w:r>
              <w:t>Institutional Capacity</w:t>
            </w:r>
          </w:p>
        </w:tc>
        <w:tc>
          <w:tcPr>
            <w:tcW w:type="dxa" w:w="2160"/>
          </w:tcPr>
          <w:p>
            <w:r>
              <w:t>€125M</w:t>
            </w:r>
          </w:p>
        </w:tc>
        <w:tc>
          <w:tcPr>
            <w:tcW w:type="dxa" w:w="2160"/>
          </w:tcPr>
          <w:p>
            <w:r>
              <w:t>€200M</w:t>
            </w:r>
          </w:p>
        </w:tc>
        <w:tc>
          <w:tcPr>
            <w:tcW w:type="dxa" w:w="2160"/>
          </w:tcPr>
          <w:p>
            <w:r>
              <w:t>€325M</w:t>
            </w:r>
          </w:p>
        </w:tc>
      </w:tr>
      <w:tr>
        <w:tc>
          <w:tcPr>
            <w:tcW w:type="dxa" w:w="2160"/>
          </w:tcPr>
          <w:p>
            <w:r>
              <w:t>Technology Development</w:t>
            </w:r>
          </w:p>
        </w:tc>
        <w:tc>
          <w:tcPr>
            <w:tcW w:type="dxa" w:w="2160"/>
          </w:tcPr>
          <w:p>
            <w:r>
              <w:t>€400M</w:t>
            </w:r>
          </w:p>
        </w:tc>
        <w:tc>
          <w:tcPr>
            <w:tcW w:type="dxa" w:w="2160"/>
          </w:tcPr>
          <w:p>
            <w:r>
              <w:t>€1,200M</w:t>
            </w:r>
          </w:p>
        </w:tc>
        <w:tc>
          <w:tcPr>
            <w:tcW w:type="dxa" w:w="2160"/>
          </w:tcPr>
          <w:p>
            <w:r>
              <w:t>€1,600M</w:t>
            </w:r>
          </w:p>
        </w:tc>
      </w:tr>
      <w:tr>
        <w:tc>
          <w:tcPr>
            <w:tcW w:type="dxa" w:w="2160"/>
          </w:tcPr>
          <w:p>
            <w:r>
              <w:t>Human Capital</w:t>
            </w:r>
          </w:p>
        </w:tc>
        <w:tc>
          <w:tcPr>
            <w:tcW w:type="dxa" w:w="2160"/>
          </w:tcPr>
          <w:p>
            <w:r>
              <w:t>€50M</w:t>
            </w:r>
          </w:p>
        </w:tc>
        <w:tc>
          <w:tcPr>
            <w:tcW w:type="dxa" w:w="2160"/>
          </w:tcPr>
          <w:p>
            <w:r>
              <w:t>€100M</w:t>
            </w:r>
          </w:p>
        </w:tc>
        <w:tc>
          <w:tcPr>
            <w:tcW w:type="dxa" w:w="2160"/>
          </w:tcPr>
          <w:p>
            <w:r>
              <w:t>€150M</w:t>
            </w:r>
          </w:p>
        </w:tc>
      </w:tr>
      <w:tr>
        <w:tc>
          <w:tcPr>
            <w:tcW w:type="dxa" w:w="2160"/>
          </w:tcPr>
          <w:p>
            <w:r>
              <w:t>International Cooperation</w:t>
            </w:r>
          </w:p>
        </w:tc>
        <w:tc>
          <w:tcPr>
            <w:tcW w:type="dxa" w:w="2160"/>
          </w:tcPr>
          <w:p>
            <w:r>
              <w:t>€75M</w:t>
            </w:r>
          </w:p>
        </w:tc>
        <w:tc>
          <w:tcPr>
            <w:tcW w:type="dxa" w:w="2160"/>
          </w:tcPr>
          <w:p>
            <w:r>
              <w:t>€150M</w:t>
            </w:r>
          </w:p>
        </w:tc>
        <w:tc>
          <w:tcPr>
            <w:tcW w:type="dxa" w:w="2160"/>
          </w:tcPr>
          <w:p>
            <w:r>
              <w:t>€225M</w:t>
            </w:r>
          </w:p>
        </w:tc>
      </w:tr>
      <w:tr>
        <w:tc>
          <w:tcPr>
            <w:tcW w:type="dxa" w:w="2160"/>
          </w:tcPr>
          <w:p>
            <w:r>
              <w:t>**Total Investment**</w:t>
            </w:r>
          </w:p>
        </w:tc>
        <w:tc>
          <w:tcPr>
            <w:tcW w:type="dxa" w:w="2160"/>
          </w:tcPr>
          <w:p>
            <w:r>
              <w:t>**€650M**</w:t>
            </w:r>
          </w:p>
        </w:tc>
        <w:tc>
          <w:tcPr>
            <w:tcW w:type="dxa" w:w="2160"/>
          </w:tcPr>
          <w:p>
            <w:r>
              <w:t>**€1,650M**</w:t>
            </w:r>
          </w:p>
        </w:tc>
        <w:tc>
          <w:tcPr>
            <w:tcW w:type="dxa" w:w="2160"/>
          </w:tcPr>
          <w:p>
            <w:r>
              <w:t>**€2.3B**</w:t>
            </w:r>
          </w:p>
        </w:tc>
      </w:tr>
    </w:tbl>
    <w:p>
      <w:pPr>
        <w:pStyle w:val="Heading2"/>
      </w:pPr>
      <w:r>
        <w:t>Personnel Requirements</w:t>
      </w:r>
    </w:p>
    <w:p>
      <w:r>
        <w:t xml:space="preserve">- </w:t>
      </w:r>
      <w:r>
        <w:rPr>
          <w:b/>
        </w:rPr>
        <w:t>Security-Cleared Analysts:</w:t>
      </w:r>
      <w:r>
        <w:t xml:space="preserve"> 400 additional positions</w:t>
      </w:r>
    </w:p>
    <w:p>
      <w:r>
        <w:t xml:space="preserve">- </w:t>
      </w:r>
      <w:r>
        <w:rPr>
          <w:b/>
        </w:rPr>
        <w:t>Technology Specialists:</w:t>
      </w:r>
      <w:r>
        <w:t xml:space="preserve"> 300 researchers and engineers</w:t>
      </w:r>
    </w:p>
    <w:p>
      <w:r>
        <w:t xml:space="preserve">- </w:t>
      </w:r>
      <w:r>
        <w:rPr>
          <w:b/>
        </w:rPr>
        <w:t>Program Management:</w:t>
      </w:r>
      <w:r>
        <w:t xml:space="preserve"> 100 coordination and oversight roles</w:t>
      </w:r>
    </w:p>
    <w:p>
      <w:r>
        <w:t xml:space="preserve">- </w:t>
      </w:r>
      <w:r>
        <w:rPr>
          <w:b/>
        </w:rPr>
        <w:t>International Liaison:</w:t>
      </w:r>
      <w:r>
        <w:t xml:space="preserve"> 50 alliance cooperation specialists</w:t>
      </w:r>
    </w:p>
    <w:p>
      <w:pPr>
        <w:pStyle w:val="Heading1"/>
      </w:pPr>
      <w:r>
        <w:t>Success Metrics Framework</w:t>
      </w:r>
    </w:p>
    <w:p>
      <w:pPr>
        <w:pStyle w:val="Heading2"/>
      </w:pPr>
      <w:r>
        <w:t>Quantitative Indicators</w:t>
      </w:r>
    </w:p>
    <w:p>
      <w:r/>
      <w:r>
        <w:rPr>
          <w:b/>
        </w:rPr>
        <w:t>Security Metrics:</w:t>
      </w:r>
      <w:r/>
    </w:p>
    <w:p>
      <w:pPr>
        <w:pStyle w:val="ListBullet"/>
      </w:pPr>
      <w:r>
        <w:t>Chinese technology penetration index &lt;10% (currently ~25%)</w:t>
      </w:r>
    </w:p>
    <w:p>
      <w:pPr>
        <w:pStyle w:val="ListBullet"/>
      </w:pPr>
      <w:r>
        <w:t>Supply chain Chinese dependency &lt;5% critical components</w:t>
      </w:r>
    </w:p>
    <w:p>
      <w:pPr>
        <w:pStyle w:val="ListBullet"/>
      </w:pPr>
      <w:r>
        <w:t>Academic collaboration risk score &lt;3/10</w:t>
      </w:r>
    </w:p>
    <w:p>
      <w:pPr>
        <w:pStyle w:val="ListBullet"/>
      </w:pPr>
      <w:r>
        <w:t>Investment screening effectiveness &gt;95%</w:t>
      </w:r>
    </w:p>
    <w:p>
      <w:r/>
      <w:r>
        <w:rPr>
          <w:b/>
        </w:rPr>
        <w:t>Capability Metrics:</w:t>
      </w:r>
      <w:r/>
    </w:p>
    <w:p>
      <w:pPr>
        <w:pStyle w:val="ListBullet"/>
      </w:pPr>
      <w:r>
        <w:t>Technology sovereignty index &gt;75%</w:t>
      </w:r>
    </w:p>
    <w:p>
      <w:pPr>
        <w:pStyle w:val="ListBullet"/>
      </w:pPr>
      <w:r>
        <w:t>Indigenous R&amp;D &gt;2% GDP</w:t>
      </w:r>
    </w:p>
    <w:p>
      <w:pPr>
        <w:pStyle w:val="ListBullet"/>
      </w:pPr>
      <w:r>
        <w:t>Critical technology TRL advancement</w:t>
      </w:r>
    </w:p>
    <w:p>
      <w:pPr>
        <w:pStyle w:val="ListBullet"/>
      </w:pPr>
      <w:r>
        <w:t>Patent portfolio growth &gt;10%/year</w:t>
      </w:r>
    </w:p>
    <w:p>
      <w:r/>
      <w:r>
        <w:rPr>
          <w:b/>
        </w:rPr>
        <w:t>Alliance Integration Metrics:</w:t>
      </w:r>
      <w:r/>
    </w:p>
    <w:p>
      <w:pPr>
        <w:pStyle w:val="ListBullet"/>
      </w:pPr>
      <w:r>
        <w:t>NATO capability gap reduction &gt;50%</w:t>
      </w:r>
    </w:p>
    <w:p>
      <w:pPr>
        <w:pStyle w:val="ListBullet"/>
      </w:pPr>
      <w:r>
        <w:t>EU program participation leadership</w:t>
      </w:r>
    </w:p>
    <w:p>
      <w:pPr>
        <w:pStyle w:val="ListBullet"/>
      </w:pPr>
      <w:r>
        <w:t>Burden-sharing compliance &gt;90%</w:t>
      </w:r>
    </w:p>
    <w:p>
      <w:pPr>
        <w:pStyle w:val="ListBullet"/>
      </w:pPr>
      <w:r>
        <w:t>Technology sharing agreement expansion</w:t>
      </w:r>
    </w:p>
    <w:p>
      <w:pPr>
        <w:pStyle w:val="Heading2"/>
      </w:pPr>
      <w:r>
        <w:t>Qualitative Assessments</w:t>
      </w:r>
    </w:p>
    <w:p>
      <w:r/>
      <w:r>
        <w:rPr>
          <w:b/>
        </w:rPr>
        <w:t>Strategic Autonomy:</w:t>
      </w:r>
      <w:r/>
    </w:p>
    <w:p>
      <w:pPr>
        <w:pStyle w:val="ListBullet"/>
      </w:pPr>
      <w:r>
        <w:t>Ability to make independent technology decisions</w:t>
      </w:r>
    </w:p>
    <w:p>
      <w:pPr>
        <w:pStyle w:val="ListBullet"/>
      </w:pPr>
      <w:r>
        <w:t>Reduced vulnerability to economic coercion</w:t>
      </w:r>
    </w:p>
    <w:p>
      <w:pPr>
        <w:pStyle w:val="ListBullet"/>
      </w:pPr>
      <w:r>
        <w:t>Enhanced alliance bargaining position</w:t>
      </w:r>
    </w:p>
    <w:p>
      <w:pPr>
        <w:pStyle w:val="ListBullet"/>
      </w:pPr>
      <w:r>
        <w:t>Regional leadership capability</w:t>
      </w:r>
    </w:p>
    <w:p>
      <w:r/>
      <w:r>
        <w:rPr>
          <w:b/>
        </w:rPr>
        <w:t>Threat Resilience:</w:t>
      </w:r>
      <w:r/>
    </w:p>
    <w:p>
      <w:pPr>
        <w:pStyle w:val="ListBullet"/>
      </w:pPr>
      <w:r>
        <w:t>Chinese acquisition attempt defeat rate</w:t>
      </w:r>
    </w:p>
    <w:p>
      <w:pPr>
        <w:pStyle w:val="ListBullet"/>
      </w:pPr>
      <w:r>
        <w:t>Cyber attack resistance improvement</w:t>
      </w:r>
    </w:p>
    <w:p>
      <w:pPr>
        <w:pStyle w:val="ListBullet"/>
      </w:pPr>
      <w:r>
        <w:t>Supply chain disruption recovery time</w:t>
      </w:r>
    </w:p>
    <w:p>
      <w:pPr>
        <w:pStyle w:val="ListBullet"/>
      </w:pPr>
      <w:r>
        <w:t>Crisis response effectiveness</w:t>
      </w:r>
    </w:p>
    <w:p>
      <w:pPr>
        <w:pStyle w:val="Heading1"/>
      </w:pPr>
      <w:r>
        <w:t>Risk Mitigation</w:t>
      </w:r>
    </w:p>
    <w:p>
      <w:pPr>
        <w:pStyle w:val="Heading2"/>
      </w:pPr>
      <w:r>
        <w:t>Implementation Risks</w:t>
      </w:r>
    </w:p>
    <w:p>
      <w:r/>
      <w:r>
        <w:rPr>
          <w:b/>
        </w:rPr>
        <w:t>Political Commitment:</w:t>
      </w:r>
      <w:r/>
    </w:p>
    <w:p>
      <w:pPr>
        <w:pStyle w:val="ListBullet"/>
      </w:pPr>
      <w:r>
        <w:t>Risk: Government change interrupting programs</w:t>
      </w:r>
    </w:p>
    <w:p>
      <w:pPr>
        <w:pStyle w:val="ListBullet"/>
      </w:pPr>
      <w:r>
        <w:t>Mitigation: Multi-party consensus building, legal frameworks</w:t>
      </w:r>
    </w:p>
    <w:p>
      <w:r/>
      <w:r>
        <w:rPr>
          <w:b/>
        </w:rPr>
        <w:t>Resource Allocation:</w:t>
      </w:r>
      <w:r/>
    </w:p>
    <w:p>
      <w:pPr>
        <w:pStyle w:val="ListBullet"/>
      </w:pPr>
      <w:r>
        <w:t>Risk: Competing budget priorities</w:t>
      </w:r>
    </w:p>
    <w:p>
      <w:pPr>
        <w:pStyle w:val="ListBullet"/>
      </w:pPr>
      <w:r>
        <w:t>Mitigation: EU co-funding, phased implementation</w:t>
      </w:r>
    </w:p>
    <w:p>
      <w:r/>
      <w:r>
        <w:rPr>
          <w:b/>
        </w:rPr>
        <w:t>Personnel Recruitment:</w:t>
      </w:r>
      <w:r/>
    </w:p>
    <w:p>
      <w:pPr>
        <w:pStyle w:val="ListBullet"/>
      </w:pPr>
      <w:r>
        <w:t>Risk: Insufficient qualified candidates</w:t>
      </w:r>
    </w:p>
    <w:p>
      <w:pPr>
        <w:pStyle w:val="ListBullet"/>
      </w:pPr>
      <w:r>
        <w:t>Mitigation: Enhanced training programs, competitive compensation</w:t>
      </w:r>
    </w:p>
    <w:p>
      <w:r/>
      <w:r>
        <w:rPr>
          <w:b/>
        </w:rPr>
        <w:t>Technology Development:</w:t>
      </w:r>
      <w:r/>
    </w:p>
    <w:p>
      <w:pPr>
        <w:pStyle w:val="ListBullet"/>
      </w:pPr>
      <w:r>
        <w:t>Risk: Technical challenges exceeding capabilities</w:t>
      </w:r>
    </w:p>
    <w:p>
      <w:pPr>
        <w:pStyle w:val="ListBullet"/>
      </w:pPr>
      <w:r>
        <w:t>Mitigation: International partnerships, staged development</w:t>
      </w:r>
    </w:p>
    <w:p>
      <w:pPr>
        <w:pStyle w:val="Heading1"/>
      </w:pPr>
      <w:r>
        <w:t>Conclusion</w:t>
      </w:r>
    </w:p>
    <w:p>
      <w:r>
        <w:t>Italy's capacity building requirements span institutional, technological, and human capital domains with total investment needs of €2.3B over 5 years. While substantial, this investment is essential for maintaining technological sovereignty and alliance leadership in an increasingly contested environment.</w:t>
      </w:r>
    </w:p>
    <w:p>
      <w:r/>
      <w:r>
        <w:rPr>
          <w:b/>
        </w:rPr>
        <w:t>Critical Capacity Findings:</w:t>
      </w:r>
      <w:r/>
    </w:p>
    <w:p>
      <w:r>
        <w:t xml:space="preserve">1. </w:t>
      </w:r>
      <w:r>
        <w:rPr>
          <w:b/>
        </w:rPr>
        <w:t>Institutional Gap:</w:t>
      </w:r>
      <w:r>
        <w:t xml:space="preserve"> No centralized technology security authority</w:t>
      </w:r>
    </w:p>
    <w:p>
      <w:r>
        <w:t xml:space="preserve">2. </w:t>
      </w:r>
      <w:r>
        <w:rPr>
          <w:b/>
        </w:rPr>
        <w:t>Intelligence Blindness:</w:t>
      </w:r>
      <w:r>
        <w:t xml:space="preserve"> Insufficient visibility into Chinese activities</w:t>
      </w:r>
    </w:p>
    <w:p>
      <w:r>
        <w:t xml:space="preserve">3. </w:t>
      </w:r>
      <w:r>
        <w:rPr>
          <w:b/>
        </w:rPr>
        <w:t>Technology Dependencies:</w:t>
      </w:r>
      <w:r>
        <w:t xml:space="preserve"> Critical vulnerabilities in key systems</w:t>
      </w:r>
    </w:p>
    <w:p>
      <w:r>
        <w:t xml:space="preserve">4. </w:t>
      </w:r>
      <w:r>
        <w:rPr>
          <w:b/>
        </w:rPr>
        <w:t>Human Capital Deficit:</w:t>
      </w:r>
      <w:r>
        <w:t xml:space="preserve"> 400+ additional security-cleared personnel needed</w:t>
      </w:r>
    </w:p>
    <w:p>
      <w:r/>
      <w:r>
        <w:rPr>
          <w:b/>
        </w:rPr>
        <w:t>Priority Implementation Actions:</w:t>
      </w:r>
      <w:r/>
    </w:p>
    <w:p>
      <w:r>
        <w:t xml:space="preserve">1. </w:t>
      </w:r>
      <w:r>
        <w:rPr>
          <w:b/>
        </w:rPr>
        <w:t>Immediate:</w:t>
      </w:r>
      <w:r>
        <w:t xml:space="preserve"> Establish National Technology Security Authority within 6 months</w:t>
      </w:r>
    </w:p>
    <w:p>
      <w:r>
        <w:t xml:space="preserve">2. </w:t>
      </w:r>
      <w:r>
        <w:rPr>
          <w:b/>
        </w:rPr>
        <w:t>Short-term:</w:t>
      </w:r>
      <w:r>
        <w:t xml:space="preserve"> Deploy conference intelligence and researcher monitoring within 12 months</w:t>
      </w:r>
    </w:p>
    <w:p>
      <w:r>
        <w:t xml:space="preserve">3. </w:t>
      </w:r>
      <w:r>
        <w:rPr>
          <w:b/>
        </w:rPr>
        <w:t>Medium-term:</w:t>
      </w:r>
      <w:r>
        <w:t xml:space="preserve"> Launch quantum and semiconductor independence programs within 24 months</w:t>
      </w:r>
    </w:p>
    <w:p>
      <w:r>
        <w:t xml:space="preserve">4. </w:t>
      </w:r>
      <w:r>
        <w:rPr>
          <w:b/>
        </w:rPr>
        <w:t>Long-term:</w:t>
      </w:r>
      <w:r>
        <w:t xml:space="preserve"> Achieve comprehensive technology security capability within 60 months</w:t>
      </w:r>
    </w:p>
    <w:p>
      <w:r>
        <w:t>Success requires sustained political commitment, adequate resource allocation, and effective coordination with allies. The alternative—continued vulnerability to systematic technology transfer and growing strategic dependence—poses unacceptable risks to national security and alliance relationships.</w:t>
      </w:r>
    </w:p>
    <w:p>
      <w:pPr>
        <w:pStyle w:val="ListBullet"/>
      </w:pPr>
    </w:p>
    <w:p>
      <w:pPr>
        <w:pStyle w:val="ListBullet"/>
      </w:pPr>
      <w:r>
        <w:t>Next Phase: Implementation &amp; Monitoring (Phase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