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13: Implementation &amp; Monitoring - Italy Technology Security Assessment</w:t>
      </w:r>
    </w:p>
    <w:p>
      <w:r/>
      <w:r>
        <w:rPr>
          <w:b/>
        </w:rPr>
        <w:t>Generated:</w:t>
      </w:r>
      <w:r>
        <w:t xml:space="preserve"> 2025-09-16</w:t>
      </w:r>
    </w:p>
    <w:p>
      <w:r/>
      <w:r>
        <w:rPr>
          <w:b/>
        </w:rPr>
        <w:t>Sources:</w:t>
      </w:r>
      <w:r>
        <w:t xml:space="preserve"> ChatGPT Phase Documents + Claude Analysis</w:t>
      </w:r>
    </w:p>
    <w:p>
      <w:r/>
      <w:r>
        <w:rPr>
          <w:b/>
        </w:rPr>
        <w:t>Classification:</w:t>
      </w:r>
      <w:r>
        <w:t xml:space="preserve"> OSINT Synthesis</w:t>
      </w:r>
    </w:p>
    <w:p>
      <w:pPr>
        <w:pStyle w:val="Heading1"/>
      </w:pPr>
      <w:r>
        <w:t>Executive Summary</w:t>
      </w:r>
    </w:p>
    <w:p>
      <w:r>
        <w:t>Phase 13 establishes a comprehensive implementation roadmap for Italy's technology security transformation, requiring €2.3B investment over 5 years and coordination across 15+ government agencies. The framework prioritizes 37 critical actions with measurable milestones and establishes continuous monitoring systems to track progress toward strategic technology sovereignty.</w:t>
      </w:r>
    </w:p>
    <w:p>
      <w:pPr>
        <w:pStyle w:val="Heading1"/>
      </w:pPr>
      <w:r>
        <w:t>Implementation Architecture</w:t>
      </w:r>
    </w:p>
    <w:p>
      <w:pPr>
        <w:pStyle w:val="Heading2"/>
      </w:pPr>
      <w:r>
        <w:t>Governance Structure</w:t>
      </w:r>
    </w:p>
    <w:p>
      <w:pPr>
        <w:pStyle w:val="ListBullet"/>
      </w:pPr>
      <w:r>
        <w:t>National Technology Security Council (NTSC)**</w:t>
      </w:r>
    </w:p>
    <w:p>
      <w:r>
        <w:t xml:space="preserve">- </w:t>
      </w:r>
      <w:r>
        <w:rPr>
          <w:b/>
        </w:rPr>
        <w:t>Chair:</w:t>
      </w:r>
      <w:r>
        <w:t xml:space="preserve"> Prime Minister</w:t>
      </w:r>
    </w:p>
    <w:p>
      <w:r>
        <w:t xml:space="preserve">- </w:t>
      </w:r>
      <w:r>
        <w:rPr>
          <w:b/>
        </w:rPr>
        <w:t>Executive Secretary:</w:t>
      </w:r>
      <w:r>
        <w:t xml:space="preserve"> National Technology Security Authority Director</w:t>
      </w:r>
    </w:p>
    <w:p>
      <w:r>
        <w:t xml:space="preserve">- </w:t>
      </w:r>
      <w:r>
        <w:rPr>
          <w:b/>
        </w:rPr>
        <w:t>Members:</w:t>
      </w:r>
      <w:r>
        <w:t xml:space="preserve"> Ministers of Defense, Economy, Universities/Research, Foreign Affairs</w:t>
      </w:r>
    </w:p>
    <w:p>
      <w:r>
        <w:t xml:space="preserve">- </w:t>
      </w:r>
      <w:r>
        <w:rPr>
          <w:b/>
        </w:rPr>
        <w:t>Meeting Frequency:</w:t>
      </w:r>
      <w:r>
        <w:t xml:space="preserve"> Monthly strategic review, weekly operational coordination</w:t>
      </w:r>
    </w:p>
    <w:p>
      <w:r>
        <w:t xml:space="preserve">- </w:t>
      </w:r>
      <w:r>
        <w:rPr>
          <w:b/>
        </w:rPr>
        <w:t>Decision Authority:</w:t>
      </w:r>
      <w:r>
        <w:t xml:space="preserve"> Budget allocation, policy direction, crisis response</w:t>
      </w:r>
    </w:p>
    <w:p>
      <w:pPr>
        <w:pStyle w:val="ListBullet"/>
      </w:pPr>
      <w:r>
        <w:t>National Technology Security Authority (NTSA)**</w:t>
      </w:r>
    </w:p>
    <w:p>
      <w:r>
        <w:t xml:space="preserve">- </w:t>
      </w:r>
      <w:r>
        <w:rPr>
          <w:b/>
        </w:rPr>
        <w:t>Status:</w:t>
      </w:r>
      <w:r>
        <w:t xml:space="preserve"> New agency requiring legislative establishment</w:t>
      </w:r>
    </w:p>
    <w:p>
      <w:r>
        <w:t xml:space="preserve">- </w:t>
      </w:r>
      <w:r>
        <w:rPr>
          <w:b/>
        </w:rPr>
        <w:t>Staff:</w:t>
      </w:r>
      <w:r>
        <w:t xml:space="preserve"> 150 security-cleared personnel</w:t>
      </w:r>
    </w:p>
    <w:p>
      <w:r>
        <w:t xml:space="preserve">- </w:t>
      </w:r>
      <w:r>
        <w:rPr>
          <w:b/>
        </w:rPr>
        <w:t>Budget:</w:t>
      </w:r>
      <w:r>
        <w:t xml:space="preserve"> €45M establishment, €25M/year operations</w:t>
      </w:r>
    </w:p>
    <w:p>
      <w:r>
        <w:t xml:space="preserve">- </w:t>
      </w:r>
      <w:r>
        <w:rPr>
          <w:b/>
        </w:rPr>
        <w:t>Timeline:</w:t>
      </w:r>
      <w:r>
        <w:t xml:space="preserve"> Operational within 6 months of legislation passage</w:t>
      </w:r>
    </w:p>
    <w:p>
      <w:r>
        <w:t xml:space="preserve">- </w:t>
      </w:r>
      <w:r>
        <w:rPr>
          <w:b/>
        </w:rPr>
        <w:t>Reporting:</w:t>
      </w:r>
      <w:r>
        <w:t xml:space="preserve"> Direct to Prime Minister, quarterly to Parliament</w:t>
      </w:r>
    </w:p>
    <w:p>
      <w:pPr>
        <w:pStyle w:val="Heading2"/>
      </w:pPr>
      <w:r>
        <w:t>Legislative Requirements Framework</w:t>
      </w:r>
    </w:p>
    <w:p>
      <w:pPr>
        <w:pStyle w:val="ListBullet"/>
      </w:pPr>
      <w:r>
        <w:t>Technology Security Act (Priority 1)**</w:t>
      </w:r>
    </w:p>
    <w:p>
      <w:r>
        <w:t xml:space="preserve">- </w:t>
      </w:r>
      <w:r>
        <w:rPr>
          <w:b/>
        </w:rPr>
        <w:t>Timeline:</w:t>
      </w:r>
      <w:r>
        <w:t xml:space="preserve"> Draft within 60 days, passage within 6 months</w:t>
      </w:r>
    </w:p>
    <w:p>
      <w:r>
        <w:t xml:space="preserve">- </w:t>
      </w:r>
      <w:r>
        <w:rPr>
          <w:b/>
        </w:rPr>
        <w:t>Key Provisions:</w:t>
      </w:r>
      <w:r/>
    </w:p>
    <w:p>
      <w:pPr>
        <w:pStyle w:val="ListBullet"/>
      </w:pPr>
      <w:r>
        <w:t>NTSA establishment and authorities</w:t>
      </w:r>
    </w:p>
    <w:p>
      <w:pPr>
        <w:pStyle w:val="ListBullet"/>
      </w:pPr>
      <w:r>
        <w:t>Mandatory MoU registration requirements</w:t>
      </w:r>
    </w:p>
    <w:p>
      <w:pPr>
        <w:pStyle w:val="ListBullet"/>
      </w:pPr>
      <w:r>
        <w:t>Conference intelligence collection authorities</w:t>
      </w:r>
    </w:p>
    <w:p>
      <w:pPr>
        <w:pStyle w:val="ListBullet"/>
      </w:pPr>
      <w:r>
        <w:t>Cross-sector information sharing mandates</w:t>
      </w:r>
    </w:p>
    <w:p>
      <w:pPr>
        <w:pStyle w:val="ListBullet"/>
      </w:pPr>
      <w:r>
        <w:t>Enhanced Golden Power Act (Priority 2)**</w:t>
      </w:r>
    </w:p>
    <w:p>
      <w:r>
        <w:t xml:space="preserve">- </w:t>
      </w:r>
      <w:r>
        <w:rPr>
          <w:b/>
        </w:rPr>
        <w:t>Timeline:</w:t>
      </w:r>
      <w:r>
        <w:t xml:space="preserve"> Amendment within 90 days</w:t>
      </w:r>
    </w:p>
    <w:p>
      <w:r>
        <w:t xml:space="preserve">- </w:t>
      </w:r>
      <w:r>
        <w:rPr>
          <w:b/>
        </w:rPr>
        <w:t>Expansions:</w:t>
      </w:r>
      <w:r/>
    </w:p>
    <w:p>
      <w:pPr>
        <w:pStyle w:val="ListBullet"/>
      </w:pPr>
      <w:r>
        <w:t>Academic funding oversight</w:t>
      </w:r>
    </w:p>
    <w:p>
      <w:pPr>
        <w:pStyle w:val="ListBullet"/>
      </w:pPr>
      <w:r>
        <w:t>Early-stage investment screening</w:t>
      </w:r>
    </w:p>
    <w:p>
      <w:pPr>
        <w:pStyle w:val="ListBullet"/>
      </w:pPr>
      <w:r>
        <w:t>Beneficial ownership transparency</w:t>
      </w:r>
    </w:p>
    <w:p>
      <w:pPr>
        <w:pStyle w:val="ListBullet"/>
      </w:pPr>
      <w:r>
        <w:t>Retroactive investigation powers</w:t>
      </w:r>
    </w:p>
    <w:p>
      <w:pPr>
        <w:pStyle w:val="Heading1"/>
      </w:pPr>
      <w:r>
        <w:t>Phase Implementation Roadmap</w:t>
      </w:r>
    </w:p>
    <w:p>
      <w:pPr>
        <w:pStyle w:val="Heading2"/>
      </w:pPr>
      <w:r>
        <w:t>Phase 1: Emergency Measures (Months 1-6)</w:t>
      </w:r>
    </w:p>
    <w:p>
      <w:r/>
      <w:r>
        <w:rPr>
          <w:b/>
        </w:rPr>
        <w:t>Critical Actions:</w:t>
      </w:r>
      <w:r/>
    </w:p>
    <w:p>
      <w:pPr>
        <w:pStyle w:val="ListNumber"/>
      </w:pPr>
      <w:r>
        <w:t>**Chinese Researcher Census (Month 1)**</w:t>
      </w:r>
    </w:p>
    <w:p>
      <w:r>
        <w:t xml:space="preserve">   - </w:t>
      </w:r>
      <w:r>
        <w:rPr>
          <w:b/>
        </w:rPr>
        <w:t>Responsible Agency:</w:t>
      </w:r>
      <w:r>
        <w:t xml:space="preserve"> Ministry of Universities and Research + AISE</w:t>
      </w:r>
    </w:p>
    <w:p>
      <w:r>
        <w:t xml:space="preserve">   - </w:t>
      </w:r>
      <w:r>
        <w:rPr>
          <w:b/>
        </w:rPr>
        <w:t>Budget:</w:t>
      </w:r>
      <w:r>
        <w:t xml:space="preserve"> €3M</w:t>
      </w:r>
    </w:p>
    <w:p>
      <w:r>
        <w:t xml:space="preserve">   - </w:t>
      </w:r>
      <w:r>
        <w:rPr>
          <w:b/>
        </w:rPr>
        <w:t>Deliverable:</w:t>
      </w:r>
      <w:r>
        <w:t xml:space="preserve"> Complete database of Chinese academic presence</w:t>
      </w:r>
    </w:p>
    <w:p>
      <w:r>
        <w:t xml:space="preserve">   - </w:t>
      </w:r>
      <w:r>
        <w:rPr>
          <w:b/>
        </w:rPr>
        <w:t>Success Metric:</w:t>
      </w:r>
      <w:r>
        <w:t xml:space="preserve"> 100% institutional participation, risk assessment for sensitive domains</w:t>
      </w:r>
    </w:p>
    <w:p>
      <w:pPr>
        <w:pStyle w:val="ListNumber"/>
      </w:pPr>
      <w:r>
        <w:t>**MoU Registration System (Month 2)**</w:t>
      </w:r>
    </w:p>
    <w:p>
      <w:r>
        <w:t xml:space="preserve">   - </w:t>
      </w:r>
      <w:r>
        <w:rPr>
          <w:b/>
        </w:rPr>
        <w:t>Responsible Agency:</w:t>
      </w:r>
      <w:r>
        <w:t xml:space="preserve"> NTSA (interim team)</w:t>
      </w:r>
    </w:p>
    <w:p>
      <w:r>
        <w:t xml:space="preserve">   - </w:t>
      </w:r>
      <w:r>
        <w:rPr>
          <w:b/>
        </w:rPr>
        <w:t>Budget:</w:t>
      </w:r>
      <w:r>
        <w:t xml:space="preserve"> €2M</w:t>
      </w:r>
    </w:p>
    <w:p>
      <w:r>
        <w:t xml:space="preserve">   - </w:t>
      </w:r>
      <w:r>
        <w:rPr>
          <w:b/>
        </w:rPr>
        <w:t>Deliverable:</w:t>
      </w:r>
      <w:r>
        <w:t xml:space="preserve"> Centralized database of international agreements</w:t>
      </w:r>
    </w:p>
    <w:p>
      <w:r>
        <w:t xml:space="preserve">   - </w:t>
      </w:r>
      <w:r>
        <w:rPr>
          <w:b/>
        </w:rPr>
        <w:t>Success Metric:</w:t>
      </w:r>
      <w:r>
        <w:t xml:space="preserve"> 90% historical MoU capture, real-time registration protocol</w:t>
      </w:r>
    </w:p>
    <w:p>
      <w:pPr>
        <w:pStyle w:val="ListNumber"/>
      </w:pPr>
      <w:r>
        <w:t>**Conference Intelligence Deployment (Month 3)**</w:t>
      </w:r>
    </w:p>
    <w:p>
      <w:r>
        <w:t xml:space="preserve">   - </w:t>
      </w:r>
      <w:r>
        <w:rPr>
          <w:b/>
        </w:rPr>
        <w:t>Responsible Agency:</w:t>
      </w:r>
      <w:r>
        <w:t xml:space="preserve"> AISE + NTSA</w:t>
      </w:r>
    </w:p>
    <w:p>
      <w:r>
        <w:t xml:space="preserve">   - </w:t>
      </w:r>
      <w:r>
        <w:rPr>
          <w:b/>
        </w:rPr>
        <w:t>Budget:</w:t>
      </w:r>
      <w:r>
        <w:t xml:space="preserve"> €5M</w:t>
      </w:r>
    </w:p>
    <w:p>
      <w:r>
        <w:t xml:space="preserve">   - </w:t>
      </w:r>
      <w:r>
        <w:rPr>
          <w:b/>
        </w:rPr>
        <w:t>Deliverable:</w:t>
      </w:r>
      <w:r>
        <w:t xml:space="preserve"> Systematic monitoring of high-risk technology events</w:t>
      </w:r>
    </w:p>
    <w:p>
      <w:r>
        <w:t xml:space="preserve">   - </w:t>
      </w:r>
      <w:r>
        <w:rPr>
          <w:b/>
        </w:rPr>
        <w:t>Success Metric:</w:t>
      </w:r>
      <w:r>
        <w:t xml:space="preserve"> Coverage of 12 Tier-1 conferences annually</w:t>
      </w:r>
    </w:p>
    <w:p>
      <w:pPr>
        <w:pStyle w:val="ListNumber"/>
      </w:pPr>
      <w:r>
        <w:t>**Supply Chain Critical Assessment (Month 4)**</w:t>
      </w:r>
    </w:p>
    <w:p>
      <w:r>
        <w:t xml:space="preserve">   - </w:t>
      </w:r>
      <w:r>
        <w:rPr>
          <w:b/>
        </w:rPr>
        <w:t>Responsible Agency:</w:t>
      </w:r>
      <w:r>
        <w:t xml:space="preserve"> Ministry of Defense + NTSA</w:t>
      </w:r>
    </w:p>
    <w:p>
      <w:r>
        <w:t xml:space="preserve">   - </w:t>
      </w:r>
      <w:r>
        <w:rPr>
          <w:b/>
        </w:rPr>
        <w:t>Budget:</w:t>
      </w:r>
      <w:r>
        <w:t xml:space="preserve"> €8M</w:t>
      </w:r>
    </w:p>
    <w:p>
      <w:r>
        <w:t xml:space="preserve">   - </w:t>
      </w:r>
      <w:r>
        <w:rPr>
          <w:b/>
        </w:rPr>
        <w:t>Deliverable:</w:t>
      </w:r>
      <w:r>
        <w:t xml:space="preserve"> Complete mapping of single-source dependencies</w:t>
      </w:r>
    </w:p>
    <w:p>
      <w:r>
        <w:t xml:space="preserve">   - </w:t>
      </w:r>
      <w:r>
        <w:rPr>
          <w:b/>
        </w:rPr>
        <w:t>Success Metric:</w:t>
      </w:r>
      <w:r>
        <w:t xml:space="preserve"> Identification of all critical vulnerabilities</w:t>
      </w:r>
    </w:p>
    <w:p>
      <w:pPr>
        <w:pStyle w:val="ListNumber"/>
      </w:pPr>
      <w:r>
        <w:t>**Legislative Package Passage (Month 6)**</w:t>
      </w:r>
    </w:p>
    <w:p>
      <w:r>
        <w:t xml:space="preserve">   - </w:t>
      </w:r>
      <w:r>
        <w:rPr>
          <w:b/>
        </w:rPr>
        <w:t>Responsible Agency:</w:t>
      </w:r>
      <w:r>
        <w:t xml:space="preserve"> Council of Ministers</w:t>
      </w:r>
    </w:p>
    <w:p>
      <w:r>
        <w:t xml:space="preserve">   - </w:t>
      </w:r>
      <w:r>
        <w:rPr>
          <w:b/>
        </w:rPr>
        <w:t>Budget:</w:t>
      </w:r>
      <w:r>
        <w:t xml:space="preserve"> €1M (drafting costs)</w:t>
      </w:r>
    </w:p>
    <w:p>
      <w:r>
        <w:t xml:space="preserve">   - </w:t>
      </w:r>
      <w:r>
        <w:rPr>
          <w:b/>
        </w:rPr>
        <w:t>Deliverable:</w:t>
      </w:r>
      <w:r>
        <w:t xml:space="preserve"> Technology Security Act and Golden Power amendments</w:t>
      </w:r>
    </w:p>
    <w:p>
      <w:r>
        <w:t xml:space="preserve">   - </w:t>
      </w:r>
      <w:r>
        <w:rPr>
          <w:b/>
        </w:rPr>
        <w:t>Success Metric:</w:t>
      </w:r>
      <w:r>
        <w:t xml:space="preserve"> Parliamentary approval with bipartisan support</w:t>
      </w:r>
    </w:p>
    <w:p>
      <w:pPr>
        <w:pStyle w:val="Heading2"/>
      </w:pPr>
      <w:r>
        <w:t>Phase 2: Foundation Building (Months 6-18)</w:t>
      </w:r>
    </w:p>
    <w:p>
      <w:r/>
      <w:r>
        <w:rPr>
          <w:b/>
        </w:rPr>
        <w:t>Major Programs:</w:t>
      </w:r>
      <w:r/>
    </w:p>
    <w:p>
      <w:pPr>
        <w:pStyle w:val="ListNumber"/>
      </w:pPr>
      <w:r>
        <w:t>**NTSA Full Operations Launch (Month 6)**</w:t>
      </w:r>
    </w:p>
    <w:p>
      <w:r>
        <w:t xml:space="preserve">   - </w:t>
      </w:r>
      <w:r>
        <w:rPr>
          <w:b/>
        </w:rPr>
        <w:t>Personnel:</w:t>
      </w:r>
      <w:r>
        <w:t xml:space="preserve"> 150 security-cleared staff recruitment</w:t>
      </w:r>
    </w:p>
    <w:p>
      <w:r>
        <w:t xml:space="preserve">   - </w:t>
      </w:r>
      <w:r>
        <w:rPr>
          <w:b/>
        </w:rPr>
        <w:t>Infrastructure:</w:t>
      </w:r>
      <w:r>
        <w:t xml:space="preserve"> Secure facilities, IT systems, analysis platforms</w:t>
      </w:r>
    </w:p>
    <w:p>
      <w:r>
        <w:t xml:space="preserve">   - </w:t>
      </w:r>
      <w:r>
        <w:rPr>
          <w:b/>
        </w:rPr>
        <w:t>Training:</w:t>
      </w:r>
      <w:r>
        <w:t xml:space="preserve"> 6-month specialized program for all personnel</w:t>
      </w:r>
    </w:p>
    <w:p>
      <w:r>
        <w:t xml:space="preserve">   - </w:t>
      </w:r>
      <w:r>
        <w:rPr>
          <w:b/>
        </w:rPr>
        <w:t>Budget:</w:t>
      </w:r>
      <w:r>
        <w:t xml:space="preserve"> €45M total investment</w:t>
      </w:r>
    </w:p>
    <w:p>
      <w:pPr>
        <w:pStyle w:val="ListNumber"/>
      </w:pPr>
      <w:r>
        <w:t>**Enhanced Investment Screening (Month 9)**</w:t>
      </w:r>
    </w:p>
    <w:p>
      <w:r>
        <w:t xml:space="preserve">   - </w:t>
      </w:r>
      <w:r>
        <w:rPr>
          <w:b/>
        </w:rPr>
        <w:t>System Upgrades:</w:t>
      </w:r>
      <w:r>
        <w:t xml:space="preserve"> Beneficial ownership detection, third-country routing analysis</w:t>
      </w:r>
    </w:p>
    <w:p>
      <w:r>
        <w:t xml:space="preserve">   - </w:t>
      </w:r>
      <w:r>
        <w:rPr>
          <w:b/>
        </w:rPr>
        <w:t>Personnel:</w:t>
      </w:r>
      <w:r>
        <w:t xml:space="preserve"> 30 additional screening analysts</w:t>
      </w:r>
    </w:p>
    <w:p>
      <w:r>
        <w:t xml:space="preserve">   - </w:t>
      </w:r>
      <w:r>
        <w:rPr>
          <w:b/>
        </w:rPr>
        <w:t>Capabilities:</w:t>
      </w:r>
      <w:r>
        <w:t xml:space="preserve"> Real-time investment flow monitoring</w:t>
      </w:r>
    </w:p>
    <w:p>
      <w:r>
        <w:t xml:space="preserve">   - </w:t>
      </w:r>
      <w:r>
        <w:rPr>
          <w:b/>
        </w:rPr>
        <w:t>Budget:</w:t>
      </w:r>
      <w:r>
        <w:t xml:space="preserve"> €18M system development</w:t>
      </w:r>
    </w:p>
    <w:p>
      <w:pPr>
        <w:pStyle w:val="ListNumber"/>
      </w:pPr>
      <w:r>
        <w:t>**Allied Intelligence Integration (Month 12)**</w:t>
      </w:r>
    </w:p>
    <w:p>
      <w:r>
        <w:t xml:space="preserve">   - </w:t>
      </w:r>
      <w:r>
        <w:rPr>
          <w:b/>
        </w:rPr>
        <w:t>Partnerships:</w:t>
      </w:r>
      <w:r>
        <w:t xml:space="preserve"> NATO, EU, Five Eyes liaison establishment</w:t>
      </w:r>
    </w:p>
    <w:p>
      <w:r>
        <w:t xml:space="preserve">   - </w:t>
      </w:r>
      <w:r>
        <w:rPr>
          <w:b/>
        </w:rPr>
        <w:t>Systems:</w:t>
      </w:r>
      <w:r>
        <w:t xml:space="preserve"> Secure communication networks, shared databases</w:t>
      </w:r>
    </w:p>
    <w:p>
      <w:r>
        <w:t xml:space="preserve">   - </w:t>
      </w:r>
      <w:r>
        <w:rPr>
          <w:b/>
        </w:rPr>
        <w:t>Personnel:</w:t>
      </w:r>
      <w:r>
        <w:t xml:space="preserve"> 20 international coordination specialists</w:t>
      </w:r>
    </w:p>
    <w:p>
      <w:r>
        <w:t xml:space="preserve">   - </w:t>
      </w:r>
      <w:r>
        <w:rPr>
          <w:b/>
        </w:rPr>
        <w:t>Budget:</w:t>
      </w:r>
      <w:r>
        <w:t xml:space="preserve"> €25M integration costs</w:t>
      </w:r>
    </w:p>
    <w:p>
      <w:pPr>
        <w:pStyle w:val="ListNumber"/>
      </w:pPr>
      <w:r>
        <w:t>**Academic Security Framework (Month 15)**</w:t>
      </w:r>
    </w:p>
    <w:p>
      <w:r>
        <w:t xml:space="preserve">   - </w:t>
      </w:r>
      <w:r>
        <w:rPr>
          <w:b/>
        </w:rPr>
        <w:t>Deployment:</w:t>
      </w:r>
      <w:r>
        <w:t xml:space="preserve"> Security officers at 25 major institutions</w:t>
      </w:r>
    </w:p>
    <w:p>
      <w:r>
        <w:t xml:space="preserve">   - </w:t>
      </w:r>
      <w:r>
        <w:rPr>
          <w:b/>
        </w:rPr>
        <w:t>Protocols:</w:t>
      </w:r>
      <w:r>
        <w:t xml:space="preserve"> Visiting researcher vetting, research compartmentalization</w:t>
      </w:r>
    </w:p>
    <w:p>
      <w:r>
        <w:t xml:space="preserve">   - </w:t>
      </w:r>
      <w:r>
        <w:rPr>
          <w:b/>
        </w:rPr>
        <w:t>Training:</w:t>
      </w:r>
      <w:r>
        <w:t xml:space="preserve"> 200 academic security personnel</w:t>
      </w:r>
    </w:p>
    <w:p>
      <w:r>
        <w:t xml:space="preserve">   - </w:t>
      </w:r>
      <w:r>
        <w:rPr>
          <w:b/>
        </w:rPr>
        <w:t>Budget:</w:t>
      </w:r>
      <w:r>
        <w:t xml:space="preserve"> €12M annual operations</w:t>
      </w:r>
    </w:p>
    <w:p>
      <w:pPr>
        <w:pStyle w:val="Heading2"/>
      </w:pPr>
      <w:r>
        <w:t>Phase 3: Capability Development (Months 12-36)</w:t>
      </w:r>
    </w:p>
    <w:p>
      <w:r/>
      <w:r>
        <w:rPr>
          <w:b/>
        </w:rPr>
        <w:t>Technology Programs:</w:t>
      </w:r>
      <w:r/>
    </w:p>
    <w:p>
      <w:pPr>
        <w:pStyle w:val="ListNumber"/>
      </w:pPr>
      <w:r>
        <w:t>**Quantum Technology Initiative (Month 12)**</w:t>
      </w:r>
    </w:p>
    <w:p>
      <w:r>
        <w:t xml:space="preserve">   - </w:t>
      </w:r>
      <w:r>
        <w:rPr>
          <w:b/>
        </w:rPr>
        <w:t>Investment:</w:t>
      </w:r>
      <w:r>
        <w:t xml:space="preserve"> €200M over 4 years</w:t>
      </w:r>
    </w:p>
    <w:p>
      <w:r>
        <w:t xml:space="preserve">   - </w:t>
      </w:r>
      <w:r>
        <w:rPr>
          <w:b/>
        </w:rPr>
        <w:t>Goals:</w:t>
      </w:r>
      <w:r>
        <w:t xml:space="preserve"> Indigenous cryogenic systems, quantum algorithms</w:t>
      </w:r>
    </w:p>
    <w:p>
      <w:r>
        <w:t xml:space="preserve">   - </w:t>
      </w:r>
      <w:r>
        <w:rPr>
          <w:b/>
        </w:rPr>
        <w:t>Personnel:</w:t>
      </w:r>
      <w:r>
        <w:t xml:space="preserve"> 100 quantum researchers and engineers</w:t>
      </w:r>
    </w:p>
    <w:p>
      <w:r>
        <w:t xml:space="preserve">   - </w:t>
      </w:r>
      <w:r>
        <w:rPr>
          <w:b/>
        </w:rPr>
        <w:t>Milestones:</w:t>
      </w:r>
      <w:r>
        <w:t xml:space="preserve"> TRL 6 systems by month 36</w:t>
      </w:r>
    </w:p>
    <w:p>
      <w:pPr>
        <w:pStyle w:val="ListNumber"/>
      </w:pPr>
      <w:r>
        <w:t>**Semiconductor Independence Program (Month 18)**</w:t>
      </w:r>
    </w:p>
    <w:p>
      <w:r>
        <w:t xml:space="preserve">   - </w:t>
      </w:r>
      <w:r>
        <w:rPr>
          <w:b/>
        </w:rPr>
        <w:t>Investment:</w:t>
      </w:r>
      <w:r>
        <w:t xml:space="preserve"> €500M over 5 years</w:t>
      </w:r>
    </w:p>
    <w:p>
      <w:r>
        <w:t xml:space="preserve">   - </w:t>
      </w:r>
      <w:r>
        <w:rPr>
          <w:b/>
        </w:rPr>
        <w:t>Capabilities:</w:t>
      </w:r>
      <w:r>
        <w:t xml:space="preserve"> Sub-28nm logic, expanded SiC production</w:t>
      </w:r>
    </w:p>
    <w:p>
      <w:r>
        <w:t xml:space="preserve">   - </w:t>
      </w:r>
      <w:r>
        <w:rPr>
          <w:b/>
        </w:rPr>
        <w:t>Partnerships:</w:t>
      </w:r>
      <w:r>
        <w:t xml:space="preserve"> EU co-funding, allied technology sharing</w:t>
      </w:r>
    </w:p>
    <w:p>
      <w:r>
        <w:t xml:space="preserve">   - </w:t>
      </w:r>
      <w:r>
        <w:rPr>
          <w:b/>
        </w:rPr>
        <w:t>Timeline:</w:t>
      </w:r>
      <w:r>
        <w:t xml:space="preserve"> Pilot production by month 48</w:t>
      </w:r>
    </w:p>
    <w:p>
      <w:pPr>
        <w:pStyle w:val="ListNumber"/>
      </w:pPr>
      <w:r>
        <w:t>**Supply Chain Resilience Center (Month 12)**</w:t>
      </w:r>
    </w:p>
    <w:p>
      <w:r>
        <w:t xml:space="preserve">   - </w:t>
      </w:r>
      <w:r>
        <w:rPr>
          <w:b/>
        </w:rPr>
        <w:t>Functions:</w:t>
      </w:r>
      <w:r>
        <w:t xml:space="preserve"> Alternative sourcing, stress testing, crisis response</w:t>
      </w:r>
    </w:p>
    <w:p>
      <w:r>
        <w:t xml:space="preserve">   - </w:t>
      </w:r>
      <w:r>
        <w:rPr>
          <w:b/>
        </w:rPr>
        <w:t>Personnel:</w:t>
      </w:r>
      <w:r>
        <w:t xml:space="preserve"> 75 supply chain analysts</w:t>
      </w:r>
    </w:p>
    <w:p>
      <w:r>
        <w:t xml:space="preserve">   - </w:t>
      </w:r>
      <w:r>
        <w:rPr>
          <w:b/>
        </w:rPr>
        <w:t>Investment:</w:t>
      </w:r>
      <w:r>
        <w:t xml:space="preserve"> €35M establishment</w:t>
      </w:r>
    </w:p>
    <w:p>
      <w:r>
        <w:t xml:space="preserve">   - </w:t>
      </w:r>
      <w:r>
        <w:rPr>
          <w:b/>
        </w:rPr>
        <w:t>Coverage:</w:t>
      </w:r>
      <w:r>
        <w:t xml:space="preserve"> All critical technology components</w:t>
      </w:r>
    </w:p>
    <w:p>
      <w:pPr>
        <w:pStyle w:val="Heading2"/>
      </w:pPr>
      <w:r>
        <w:t>Phase 4: Advanced Capabilities (Months 24-60)</w:t>
      </w:r>
    </w:p>
    <w:p>
      <w:r/>
      <w:r>
        <w:rPr>
          <w:b/>
        </w:rPr>
        <w:t>Strategic Programs:</w:t>
      </w:r>
      <w:r/>
    </w:p>
    <w:p>
      <w:pPr>
        <w:pStyle w:val="ListNumber"/>
      </w:pPr>
      <w:r>
        <w:t>**Technology Sovereignty Assessment (Month 24)**</w:t>
      </w:r>
    </w:p>
    <w:p>
      <w:r>
        <w:t xml:space="preserve">   - </w:t>
      </w:r>
      <w:r>
        <w:rPr>
          <w:b/>
        </w:rPr>
        <w:t>Comprehensive Review:</w:t>
      </w:r>
      <w:r>
        <w:t xml:space="preserve"> All critical technology dependencies</w:t>
      </w:r>
    </w:p>
    <w:p>
      <w:r>
        <w:t xml:space="preserve">   - </w:t>
      </w:r>
      <w:r>
        <w:rPr>
          <w:b/>
        </w:rPr>
        <w:t>Investment Decisions:</w:t>
      </w:r>
      <w:r>
        <w:t xml:space="preserve"> Next-phase funding priorities</w:t>
      </w:r>
    </w:p>
    <w:p>
      <w:r>
        <w:t xml:space="preserve">   - </w:t>
      </w:r>
      <w:r>
        <w:rPr>
          <w:b/>
        </w:rPr>
        <w:t>Allied Coordination:</w:t>
      </w:r>
      <w:r>
        <w:t xml:space="preserve"> Technology sharing agreement negotiations</w:t>
      </w:r>
    </w:p>
    <w:p>
      <w:r>
        <w:t xml:space="preserve">   - </w:t>
      </w:r>
      <w:r>
        <w:rPr>
          <w:b/>
        </w:rPr>
        <w:t>Timeline:</w:t>
      </w:r>
      <w:r>
        <w:t xml:space="preserve"> Annual strategic review cycle</w:t>
      </w:r>
    </w:p>
    <w:p>
      <w:pPr>
        <w:pStyle w:val="ListNumber"/>
      </w:pPr>
      <w:r>
        <w:t>**Regional Leadership Initiative (Month 30)**</w:t>
      </w:r>
    </w:p>
    <w:p>
      <w:r>
        <w:t xml:space="preserve">   - </w:t>
      </w:r>
      <w:r>
        <w:rPr>
          <w:b/>
        </w:rPr>
        <w:t>Mediterranean Framework:</w:t>
      </w:r>
      <w:r>
        <w:t xml:space="preserve"> Technology security cooperation</w:t>
      </w:r>
    </w:p>
    <w:p>
      <w:r>
        <w:t xml:space="preserve">   - </w:t>
      </w:r>
      <w:r>
        <w:rPr>
          <w:b/>
        </w:rPr>
        <w:t>Indo-Pacific Partnerships:</w:t>
      </w:r>
      <w:r>
        <w:t xml:space="preserve"> Advanced technology collaboration</w:t>
      </w:r>
    </w:p>
    <w:p>
      <w:r>
        <w:t xml:space="preserve">   - </w:t>
      </w:r>
      <w:r>
        <w:rPr>
          <w:b/>
        </w:rPr>
        <w:t>Investment:</w:t>
      </w:r>
      <w:r>
        <w:t xml:space="preserve"> €100M in partnership programs</w:t>
      </w:r>
    </w:p>
    <w:p>
      <w:r>
        <w:t xml:space="preserve">   - </w:t>
      </w:r>
      <w:r>
        <w:rPr>
          <w:b/>
        </w:rPr>
        <w:t>Goals:</w:t>
      </w:r>
      <w:r>
        <w:t xml:space="preserve"> Regional influence expansion</w:t>
      </w:r>
    </w:p>
    <w:p>
      <w:pPr>
        <w:pStyle w:val="Heading1"/>
      </w:pPr>
      <w:r>
        <w:t>Monitoring and Evaluation Framework</w:t>
      </w:r>
    </w:p>
    <w:p>
      <w:pPr>
        <w:pStyle w:val="Heading2"/>
      </w:pPr>
      <w:r>
        <w:t>Key Performance Indicators</w:t>
      </w:r>
    </w:p>
    <w:p>
      <w:r/>
      <w:r>
        <w:rPr>
          <w:b/>
        </w:rPr>
        <w:t>Security Metrics:</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Indicator</w:t>
            </w:r>
          </w:p>
        </w:tc>
        <w:tc>
          <w:tcPr>
            <w:tcW w:type="dxa" w:w="1728"/>
          </w:tcPr>
          <w:p>
            <w:r>
              <w:rPr>
                <w:b/>
              </w:rPr>
              <w:t>Baseline</w:t>
            </w:r>
          </w:p>
        </w:tc>
        <w:tc>
          <w:tcPr>
            <w:tcW w:type="dxa" w:w="1728"/>
          </w:tcPr>
          <w:p>
            <w:r>
              <w:rPr>
                <w:b/>
              </w:rPr>
              <w:t>Year 1 Target</w:t>
            </w:r>
          </w:p>
        </w:tc>
        <w:tc>
          <w:tcPr>
            <w:tcW w:type="dxa" w:w="1728"/>
          </w:tcPr>
          <w:p>
            <w:r>
              <w:rPr>
                <w:b/>
              </w:rPr>
              <w:t>Year 3 Target</w:t>
            </w:r>
          </w:p>
        </w:tc>
        <w:tc>
          <w:tcPr>
            <w:tcW w:type="dxa" w:w="1728"/>
          </w:tcPr>
          <w:p>
            <w:r>
              <w:rPr>
                <w:b/>
              </w:rPr>
              <w:t>Year 5 Target</w:t>
            </w:r>
          </w:p>
        </w:tc>
      </w:tr>
      <w:tr>
        <w:tc>
          <w:tcPr>
            <w:tcW w:type="dxa" w:w="1728"/>
          </w:tcPr>
          <w:p>
            <w:r>
              <w:t>Chinese Tech Dependency</w:t>
            </w:r>
          </w:p>
        </w:tc>
        <w:tc>
          <w:tcPr>
            <w:tcW w:type="dxa" w:w="1728"/>
          </w:tcPr>
          <w:p>
            <w:r>
              <w:t>25%</w:t>
            </w:r>
          </w:p>
        </w:tc>
        <w:tc>
          <w:tcPr>
            <w:tcW w:type="dxa" w:w="1728"/>
          </w:tcPr>
          <w:p>
            <w:r>
              <w:t>20%</w:t>
            </w:r>
          </w:p>
        </w:tc>
        <w:tc>
          <w:tcPr>
            <w:tcW w:type="dxa" w:w="1728"/>
          </w:tcPr>
          <w:p>
            <w:r>
              <w:t>15%</w:t>
            </w:r>
          </w:p>
        </w:tc>
        <w:tc>
          <w:tcPr>
            <w:tcW w:type="dxa" w:w="1728"/>
          </w:tcPr>
          <w:p>
            <w:r>
              <w:t>&lt;10%</w:t>
            </w:r>
          </w:p>
        </w:tc>
      </w:tr>
      <w:tr>
        <w:tc>
          <w:tcPr>
            <w:tcW w:type="dxa" w:w="1728"/>
          </w:tcPr>
          <w:p>
            <w:r>
              <w:t>Unvetted Collaborations</w:t>
            </w:r>
          </w:p>
        </w:tc>
        <w:tc>
          <w:tcPr>
            <w:tcW w:type="dxa" w:w="1728"/>
          </w:tcPr>
          <w:p>
            <w:r>
              <w:t>~400/year</w:t>
            </w:r>
          </w:p>
        </w:tc>
        <w:tc>
          <w:tcPr>
            <w:tcW w:type="dxa" w:w="1728"/>
          </w:tcPr>
          <w:p>
            <w:r>
              <w:t>&lt;50/year</w:t>
            </w:r>
          </w:p>
        </w:tc>
        <w:tc>
          <w:tcPr>
            <w:tcW w:type="dxa" w:w="1728"/>
          </w:tcPr>
          <w:p>
            <w:r>
              <w:t>&lt;20/year</w:t>
            </w:r>
          </w:p>
        </w:tc>
        <w:tc>
          <w:tcPr>
            <w:tcW w:type="dxa" w:w="1728"/>
          </w:tcPr>
          <w:p>
            <w:r>
              <w:t>&lt;10/year</w:t>
            </w:r>
          </w:p>
        </w:tc>
      </w:tr>
      <w:tr>
        <w:tc>
          <w:tcPr>
            <w:tcW w:type="dxa" w:w="1728"/>
          </w:tcPr>
          <w:p>
            <w:r>
              <w:t>Supply Chain Visibility</w:t>
            </w:r>
          </w:p>
        </w:tc>
        <w:tc>
          <w:tcPr>
            <w:tcW w:type="dxa" w:w="1728"/>
          </w:tcPr>
          <w:p>
            <w:r>
              <w:t>30%</w:t>
            </w:r>
          </w:p>
        </w:tc>
        <w:tc>
          <w:tcPr>
            <w:tcW w:type="dxa" w:w="1728"/>
          </w:tcPr>
          <w:p>
            <w:r>
              <w:t>60%</w:t>
            </w:r>
          </w:p>
        </w:tc>
        <w:tc>
          <w:tcPr>
            <w:tcW w:type="dxa" w:w="1728"/>
          </w:tcPr>
          <w:p>
            <w:r>
              <w:t>85%</w:t>
            </w:r>
          </w:p>
        </w:tc>
        <w:tc>
          <w:tcPr>
            <w:tcW w:type="dxa" w:w="1728"/>
          </w:tcPr>
          <w:p>
            <w:r>
              <w:t>95%</w:t>
            </w:r>
          </w:p>
        </w:tc>
      </w:tr>
      <w:tr>
        <w:tc>
          <w:tcPr>
            <w:tcW w:type="dxa" w:w="1728"/>
          </w:tcPr>
          <w:p>
            <w:r>
              <w:t>Investment Screening Success</w:t>
            </w:r>
          </w:p>
        </w:tc>
        <w:tc>
          <w:tcPr>
            <w:tcW w:type="dxa" w:w="1728"/>
          </w:tcPr>
          <w:p>
            <w:r>
              <w:t>85%</w:t>
            </w:r>
          </w:p>
        </w:tc>
        <w:tc>
          <w:tcPr>
            <w:tcW w:type="dxa" w:w="1728"/>
          </w:tcPr>
          <w:p>
            <w:r>
              <w:t>95%</w:t>
            </w:r>
          </w:p>
        </w:tc>
        <w:tc>
          <w:tcPr>
            <w:tcW w:type="dxa" w:w="1728"/>
          </w:tcPr>
          <w:p>
            <w:r>
              <w:t>98%</w:t>
            </w:r>
          </w:p>
        </w:tc>
        <w:tc>
          <w:tcPr>
            <w:tcW w:type="dxa" w:w="1728"/>
          </w:tcPr>
          <w:p>
            <w:r>
              <w:t>99%</w:t>
            </w:r>
          </w:p>
        </w:tc>
      </w:tr>
    </w:tbl>
    <w:p>
      <w:r/>
      <w:r>
        <w:rPr>
          <w:b/>
        </w:rPr>
        <w:t>Capability Metrics:</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Indicator</w:t>
            </w:r>
          </w:p>
        </w:tc>
        <w:tc>
          <w:tcPr>
            <w:tcW w:type="dxa" w:w="1728"/>
          </w:tcPr>
          <w:p>
            <w:r>
              <w:rPr>
                <w:b/>
              </w:rPr>
              <w:t>Baseline</w:t>
            </w:r>
          </w:p>
        </w:tc>
        <w:tc>
          <w:tcPr>
            <w:tcW w:type="dxa" w:w="1728"/>
          </w:tcPr>
          <w:p>
            <w:r>
              <w:rPr>
                <w:b/>
              </w:rPr>
              <w:t>Year 1 Target</w:t>
            </w:r>
          </w:p>
        </w:tc>
        <w:tc>
          <w:tcPr>
            <w:tcW w:type="dxa" w:w="1728"/>
          </w:tcPr>
          <w:p>
            <w:r>
              <w:rPr>
                <w:b/>
              </w:rPr>
              <w:t>Year 3 Target</w:t>
            </w:r>
          </w:p>
        </w:tc>
        <w:tc>
          <w:tcPr>
            <w:tcW w:type="dxa" w:w="1728"/>
          </w:tcPr>
          <w:p>
            <w:r>
              <w:rPr>
                <w:b/>
              </w:rPr>
              <w:t>Year 5 Target</w:t>
            </w:r>
          </w:p>
        </w:tc>
      </w:tr>
      <w:tr>
        <w:tc>
          <w:tcPr>
            <w:tcW w:type="dxa" w:w="1728"/>
          </w:tcPr>
          <w:p>
            <w:r>
              <w:t>R&amp;D Investment/GDP</w:t>
            </w:r>
          </w:p>
        </w:tc>
        <w:tc>
          <w:tcPr>
            <w:tcW w:type="dxa" w:w="1728"/>
          </w:tcPr>
          <w:p>
            <w:r>
              <w:t>1.45%</w:t>
            </w:r>
          </w:p>
        </w:tc>
        <w:tc>
          <w:tcPr>
            <w:tcW w:type="dxa" w:w="1728"/>
          </w:tcPr>
          <w:p>
            <w:r>
              <w:t>1.55%</w:t>
            </w:r>
          </w:p>
        </w:tc>
        <w:tc>
          <w:tcPr>
            <w:tcW w:type="dxa" w:w="1728"/>
          </w:tcPr>
          <w:p>
            <w:r>
              <w:t>1.75%</w:t>
            </w:r>
          </w:p>
        </w:tc>
        <w:tc>
          <w:tcPr>
            <w:tcW w:type="dxa" w:w="1728"/>
          </w:tcPr>
          <w:p>
            <w:r>
              <w:t>2.00%</w:t>
            </w:r>
          </w:p>
        </w:tc>
      </w:tr>
      <w:tr>
        <w:tc>
          <w:tcPr>
            <w:tcW w:type="dxa" w:w="1728"/>
          </w:tcPr>
          <w:p>
            <w:r>
              <w:t>Technology Sovereignty Index</w:t>
            </w:r>
          </w:p>
        </w:tc>
        <w:tc>
          <w:tcPr>
            <w:tcW w:type="dxa" w:w="1728"/>
          </w:tcPr>
          <w:p>
            <w:r>
              <w:t>40%</w:t>
            </w:r>
          </w:p>
        </w:tc>
        <w:tc>
          <w:tcPr>
            <w:tcW w:type="dxa" w:w="1728"/>
          </w:tcPr>
          <w:p>
            <w:r>
              <w:t>50%</w:t>
            </w:r>
          </w:p>
        </w:tc>
        <w:tc>
          <w:tcPr>
            <w:tcW w:type="dxa" w:w="1728"/>
          </w:tcPr>
          <w:p>
            <w:r>
              <w:t>65%</w:t>
            </w:r>
          </w:p>
        </w:tc>
        <w:tc>
          <w:tcPr>
            <w:tcW w:type="dxa" w:w="1728"/>
          </w:tcPr>
          <w:p>
            <w:r>
              <w:t>75%</w:t>
            </w:r>
          </w:p>
        </w:tc>
      </w:tr>
      <w:tr>
        <w:tc>
          <w:tcPr>
            <w:tcW w:type="dxa" w:w="1728"/>
          </w:tcPr>
          <w:p>
            <w:r>
              <w:t>Indigenous Critical Tech</w:t>
            </w:r>
          </w:p>
        </w:tc>
        <w:tc>
          <w:tcPr>
            <w:tcW w:type="dxa" w:w="1728"/>
          </w:tcPr>
          <w:p>
            <w:r>
              <w:t>25%</w:t>
            </w:r>
          </w:p>
        </w:tc>
        <w:tc>
          <w:tcPr>
            <w:tcW w:type="dxa" w:w="1728"/>
          </w:tcPr>
          <w:p>
            <w:r>
              <w:t>35%</w:t>
            </w:r>
          </w:p>
        </w:tc>
        <w:tc>
          <w:tcPr>
            <w:tcW w:type="dxa" w:w="1728"/>
          </w:tcPr>
          <w:p>
            <w:r>
              <w:t>55%</w:t>
            </w:r>
          </w:p>
        </w:tc>
        <w:tc>
          <w:tcPr>
            <w:tcW w:type="dxa" w:w="1728"/>
          </w:tcPr>
          <w:p>
            <w:r>
              <w:t>70%</w:t>
            </w:r>
          </w:p>
        </w:tc>
      </w:tr>
      <w:tr>
        <w:tc>
          <w:tcPr>
            <w:tcW w:type="dxa" w:w="1728"/>
          </w:tcPr>
          <w:p>
            <w:r>
              <w:t>NATO Capability Gaps</w:t>
            </w:r>
          </w:p>
        </w:tc>
        <w:tc>
          <w:tcPr>
            <w:tcW w:type="dxa" w:w="1728"/>
          </w:tcPr>
          <w:p>
            <w:r>
              <w:t>15</w:t>
            </w:r>
          </w:p>
        </w:tc>
        <w:tc>
          <w:tcPr>
            <w:tcW w:type="dxa" w:w="1728"/>
          </w:tcPr>
          <w:p>
            <w:r>
              <w:t>12</w:t>
            </w:r>
          </w:p>
        </w:tc>
        <w:tc>
          <w:tcPr>
            <w:tcW w:type="dxa" w:w="1728"/>
          </w:tcPr>
          <w:p>
            <w:r>
              <w:t>8</w:t>
            </w:r>
          </w:p>
        </w:tc>
        <w:tc>
          <w:tcPr>
            <w:tcW w:type="dxa" w:w="1728"/>
          </w:tcPr>
          <w:p>
            <w:r>
              <w:t>5</w:t>
            </w:r>
          </w:p>
        </w:tc>
      </w:tr>
    </w:tbl>
    <w:p>
      <w:r/>
      <w:r>
        <w:rPr>
          <w:b/>
        </w:rPr>
        <w:t>Alliance Integration Metrics:</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Indicator</w:t>
            </w:r>
          </w:p>
        </w:tc>
        <w:tc>
          <w:tcPr>
            <w:tcW w:type="dxa" w:w="1728"/>
          </w:tcPr>
          <w:p>
            <w:r>
              <w:rPr>
                <w:b/>
              </w:rPr>
              <w:t>Baseline</w:t>
            </w:r>
          </w:p>
        </w:tc>
        <w:tc>
          <w:tcPr>
            <w:tcW w:type="dxa" w:w="1728"/>
          </w:tcPr>
          <w:p>
            <w:r>
              <w:rPr>
                <w:b/>
              </w:rPr>
              <w:t>Year 1 Target</w:t>
            </w:r>
          </w:p>
        </w:tc>
        <w:tc>
          <w:tcPr>
            <w:tcW w:type="dxa" w:w="1728"/>
          </w:tcPr>
          <w:p>
            <w:r>
              <w:rPr>
                <w:b/>
              </w:rPr>
              <w:t>Year 3 Target</w:t>
            </w:r>
          </w:p>
        </w:tc>
        <w:tc>
          <w:tcPr>
            <w:tcW w:type="dxa" w:w="1728"/>
          </w:tcPr>
          <w:p>
            <w:r>
              <w:rPr>
                <w:b/>
              </w:rPr>
              <w:t>Year 5 Target</w:t>
            </w:r>
          </w:p>
        </w:tc>
      </w:tr>
      <w:tr>
        <w:tc>
          <w:tcPr>
            <w:tcW w:type="dxa" w:w="1728"/>
          </w:tcPr>
          <w:p>
            <w:r>
              <w:t>Defense Spending/GDP</w:t>
            </w:r>
          </w:p>
        </w:tc>
        <w:tc>
          <w:tcPr>
            <w:tcW w:type="dxa" w:w="1728"/>
          </w:tcPr>
          <w:p>
            <w:r>
              <w:t>1.46%</w:t>
            </w:r>
          </w:p>
        </w:tc>
        <w:tc>
          <w:tcPr>
            <w:tcW w:type="dxa" w:w="1728"/>
          </w:tcPr>
          <w:p>
            <w:r>
              <w:t>1.55%</w:t>
            </w:r>
          </w:p>
        </w:tc>
        <w:tc>
          <w:tcPr>
            <w:tcW w:type="dxa" w:w="1728"/>
          </w:tcPr>
          <w:p>
            <w:r>
              <w:t>1.75%</w:t>
            </w:r>
          </w:p>
        </w:tc>
        <w:tc>
          <w:tcPr>
            <w:tcW w:type="dxa" w:w="1728"/>
          </w:tcPr>
          <w:p>
            <w:r>
              <w:t>2.00%</w:t>
            </w:r>
          </w:p>
        </w:tc>
      </w:tr>
      <w:tr>
        <w:tc>
          <w:tcPr>
            <w:tcW w:type="dxa" w:w="1728"/>
          </w:tcPr>
          <w:p>
            <w:r>
              <w:t>NATO Burden Sharing</w:t>
            </w:r>
          </w:p>
        </w:tc>
        <w:tc>
          <w:tcPr>
            <w:tcW w:type="dxa" w:w="1728"/>
          </w:tcPr>
          <w:p>
            <w:r>
              <w:t>70%</w:t>
            </w:r>
          </w:p>
        </w:tc>
        <w:tc>
          <w:tcPr>
            <w:tcW w:type="dxa" w:w="1728"/>
          </w:tcPr>
          <w:p>
            <w:r>
              <w:t>80%</w:t>
            </w:r>
          </w:p>
        </w:tc>
        <w:tc>
          <w:tcPr>
            <w:tcW w:type="dxa" w:w="1728"/>
          </w:tcPr>
          <w:p>
            <w:r>
              <w:t>90%</w:t>
            </w:r>
          </w:p>
        </w:tc>
        <w:tc>
          <w:tcPr>
            <w:tcW w:type="dxa" w:w="1728"/>
          </w:tcPr>
          <w:p>
            <w:r>
              <w:t>95%</w:t>
            </w:r>
          </w:p>
        </w:tc>
      </w:tr>
      <w:tr>
        <w:tc>
          <w:tcPr>
            <w:tcW w:type="dxa" w:w="1728"/>
          </w:tcPr>
          <w:p>
            <w:r>
              <w:t>EU Program Leadership</w:t>
            </w:r>
          </w:p>
        </w:tc>
        <w:tc>
          <w:tcPr>
            <w:tcW w:type="dxa" w:w="1728"/>
          </w:tcPr>
          <w:p>
            <w:r>
              <w:t>12%</w:t>
            </w:r>
          </w:p>
        </w:tc>
        <w:tc>
          <w:tcPr>
            <w:tcW w:type="dxa" w:w="1728"/>
          </w:tcPr>
          <w:p>
            <w:r>
              <w:t>18%</w:t>
            </w:r>
          </w:p>
        </w:tc>
        <w:tc>
          <w:tcPr>
            <w:tcW w:type="dxa" w:w="1728"/>
          </w:tcPr>
          <w:p>
            <w:r>
              <w:t>25%</w:t>
            </w:r>
          </w:p>
        </w:tc>
        <w:tc>
          <w:tcPr>
            <w:tcW w:type="dxa" w:w="1728"/>
          </w:tcPr>
          <w:p>
            <w:r>
              <w:t>30%</w:t>
            </w:r>
          </w:p>
        </w:tc>
      </w:tr>
      <w:tr>
        <w:tc>
          <w:tcPr>
            <w:tcW w:type="dxa" w:w="1728"/>
          </w:tcPr>
          <w:p>
            <w:r>
              <w:t>Technology Export Volume</w:t>
            </w:r>
          </w:p>
        </w:tc>
        <w:tc>
          <w:tcPr>
            <w:tcW w:type="dxa" w:w="1728"/>
          </w:tcPr>
          <w:p>
            <w:r>
              <w:t>€2.3B</w:t>
            </w:r>
          </w:p>
        </w:tc>
        <w:tc>
          <w:tcPr>
            <w:tcW w:type="dxa" w:w="1728"/>
          </w:tcPr>
          <w:p>
            <w:r>
              <w:t>€2.8B</w:t>
            </w:r>
          </w:p>
        </w:tc>
        <w:tc>
          <w:tcPr>
            <w:tcW w:type="dxa" w:w="1728"/>
          </w:tcPr>
          <w:p>
            <w:r>
              <w:t>€3.5B</w:t>
            </w:r>
          </w:p>
        </w:tc>
        <w:tc>
          <w:tcPr>
            <w:tcW w:type="dxa" w:w="1728"/>
          </w:tcPr>
          <w:p>
            <w:r>
              <w:t>€4.2B</w:t>
            </w:r>
          </w:p>
        </w:tc>
      </w:tr>
    </w:tbl>
    <w:p>
      <w:pPr>
        <w:pStyle w:val="Heading2"/>
      </w:pPr>
      <w:r>
        <w:t>Continuous Assessment Systems</w:t>
      </w:r>
    </w:p>
    <w:p>
      <w:r/>
      <w:r>
        <w:rPr>
          <w:b/>
        </w:rPr>
        <w:t>Quarterly Strategic Reviews:</w:t>
      </w:r>
      <w:r/>
    </w:p>
    <w:p>
      <w:pPr>
        <w:pStyle w:val="ListBullet"/>
      </w:pPr>
      <w:r>
        <w:t>NTSC-led comprehensive assessment</w:t>
      </w:r>
    </w:p>
    <w:p>
      <w:pPr>
        <w:pStyle w:val="ListBullet"/>
      </w:pPr>
      <w:r>
        <w:t>Cross-agency coordination evaluation</w:t>
      </w:r>
    </w:p>
    <w:p>
      <w:pPr>
        <w:pStyle w:val="ListBullet"/>
      </w:pPr>
      <w:r>
        <w:t>Allied relationship status review</w:t>
      </w:r>
    </w:p>
    <w:p>
      <w:pPr>
        <w:pStyle w:val="ListBullet"/>
      </w:pPr>
      <w:r>
        <w:t>Threat landscape analysis update</w:t>
      </w:r>
    </w:p>
    <w:p>
      <w:r/>
      <w:r>
        <w:rPr>
          <w:b/>
        </w:rPr>
        <w:t>Monthly Operational Reviews:</w:t>
      </w:r>
      <w:r/>
    </w:p>
    <w:p>
      <w:pPr>
        <w:pStyle w:val="ListBullet"/>
      </w:pPr>
      <w:r>
        <w:t>NTSA performance metrics analysis</w:t>
      </w:r>
    </w:p>
    <w:p>
      <w:pPr>
        <w:pStyle w:val="ListBullet"/>
      </w:pPr>
      <w:r>
        <w:t>Implementation milestone tracking</w:t>
      </w:r>
    </w:p>
    <w:p>
      <w:pPr>
        <w:pStyle w:val="ListBullet"/>
      </w:pPr>
      <w:r>
        <w:t>Resource allocation optimization</w:t>
      </w:r>
    </w:p>
    <w:p>
      <w:pPr>
        <w:pStyle w:val="ListBullet"/>
      </w:pPr>
      <w:r>
        <w:t>Risk indicator monitoring</w:t>
      </w:r>
    </w:p>
    <w:p>
      <w:r/>
      <w:r>
        <w:rPr>
          <w:b/>
        </w:rPr>
        <w:t>Weekly Tactical Monitoring:</w:t>
      </w:r>
      <w:r/>
    </w:p>
    <w:p>
      <w:pPr>
        <w:pStyle w:val="ListBullet"/>
      </w:pPr>
      <w:r>
        <w:t>Chinese activity surveillance</w:t>
      </w:r>
    </w:p>
    <w:p>
      <w:pPr>
        <w:pStyle w:val="ListBullet"/>
      </w:pPr>
      <w:r>
        <w:t>Academic collaboration oversight</w:t>
      </w:r>
    </w:p>
    <w:p>
      <w:pPr>
        <w:pStyle w:val="ListBullet"/>
      </w:pPr>
      <w:r>
        <w:t>Investment screening results</w:t>
      </w:r>
    </w:p>
    <w:p>
      <w:pPr>
        <w:pStyle w:val="ListBullet"/>
      </w:pPr>
      <w:r>
        <w:t>Cyber threat assessment</w:t>
      </w:r>
    </w:p>
    <w:p>
      <w:pPr>
        <w:pStyle w:val="Heading1"/>
      </w:pPr>
      <w:r>
        <w:t>Risk Management Framework</w:t>
      </w:r>
    </w:p>
    <w:p>
      <w:pPr>
        <w:pStyle w:val="Heading2"/>
      </w:pPr>
      <w:r>
        <w:t>Implementation Risks</w:t>
      </w:r>
    </w:p>
    <w:p>
      <w:pPr>
        <w:pStyle w:val="ListBullet"/>
      </w:pPr>
      <w:r>
        <w:t>Political Risk - HIGH**</w:t>
      </w:r>
    </w:p>
    <w:p>
      <w:r>
        <w:t xml:space="preserve">- </w:t>
      </w:r>
      <w:r>
        <w:rPr>
          <w:b/>
        </w:rPr>
        <w:t>Challenge:</w:t>
      </w:r>
      <w:r>
        <w:t xml:space="preserve"> Government change interrupting programs</w:t>
      </w:r>
    </w:p>
    <w:p>
      <w:r>
        <w:t xml:space="preserve">- </w:t>
      </w:r>
      <w:r>
        <w:rPr>
          <w:b/>
        </w:rPr>
        <w:t>Mitigation:</w:t>
      </w:r>
      <w:r>
        <w:t xml:space="preserve"> Multi-party consensus building, legal institutionalization</w:t>
      </w:r>
    </w:p>
    <w:p>
      <w:r>
        <w:t xml:space="preserve">- </w:t>
      </w:r>
      <w:r>
        <w:rPr>
          <w:b/>
        </w:rPr>
        <w:t>Monitoring:</w:t>
      </w:r>
      <w:r>
        <w:t xml:space="preserve"> Political stability indicators, coalition dynamics</w:t>
      </w:r>
    </w:p>
    <w:p>
      <w:pPr>
        <w:pStyle w:val="ListBullet"/>
      </w:pPr>
      <w:r>
        <w:t>Resource Risk - MEDIUM**</w:t>
      </w:r>
    </w:p>
    <w:p>
      <w:r>
        <w:t xml:space="preserve">- </w:t>
      </w:r>
      <w:r>
        <w:rPr>
          <w:b/>
        </w:rPr>
        <w:t>Challenge:</w:t>
      </w:r>
      <w:r>
        <w:t xml:space="preserve"> Budget constraints limiting implementation</w:t>
      </w:r>
    </w:p>
    <w:p>
      <w:r>
        <w:t xml:space="preserve">- </w:t>
      </w:r>
      <w:r>
        <w:rPr>
          <w:b/>
        </w:rPr>
        <w:t>Mitigation:</w:t>
      </w:r>
      <w:r>
        <w:t xml:space="preserve"> Phased approach, EU co-funding, efficiency optimization</w:t>
      </w:r>
    </w:p>
    <w:p>
      <w:r>
        <w:t xml:space="preserve">- </w:t>
      </w:r>
      <w:r>
        <w:rPr>
          <w:b/>
        </w:rPr>
        <w:t>Monitoring:</w:t>
      </w:r>
      <w:r>
        <w:t xml:space="preserve"> Fiscal position analysis, funding pipeline management</w:t>
      </w:r>
    </w:p>
    <w:p>
      <w:pPr>
        <w:pStyle w:val="ListBullet"/>
      </w:pPr>
      <w:r>
        <w:t>Personnel Risk - MEDIUM-HIGH**</w:t>
      </w:r>
    </w:p>
    <w:p>
      <w:r>
        <w:t xml:space="preserve">- </w:t>
      </w:r>
      <w:r>
        <w:rPr>
          <w:b/>
        </w:rPr>
        <w:t>Challenge:</w:t>
      </w:r>
      <w:r>
        <w:t xml:space="preserve"> Insufficient qualified security-cleared personnel</w:t>
      </w:r>
    </w:p>
    <w:p>
      <w:r>
        <w:t xml:space="preserve">- </w:t>
      </w:r>
      <w:r>
        <w:rPr>
          <w:b/>
        </w:rPr>
        <w:t>Mitigation:</w:t>
      </w:r>
      <w:r>
        <w:t xml:space="preserve"> Enhanced recruitment, competitive packages, training programs</w:t>
      </w:r>
    </w:p>
    <w:p>
      <w:r>
        <w:t xml:space="preserve">- </w:t>
      </w:r>
      <w:r>
        <w:rPr>
          <w:b/>
        </w:rPr>
        <w:t>Monitoring:</w:t>
      </w:r>
      <w:r>
        <w:t xml:space="preserve"> Staffing level tracking, retention rate analysis</w:t>
      </w:r>
    </w:p>
    <w:p>
      <w:pPr>
        <w:pStyle w:val="ListBullet"/>
      </w:pPr>
      <w:r>
        <w:t>Technical Risk - MEDIUM**</w:t>
      </w:r>
    </w:p>
    <w:p>
      <w:r>
        <w:t xml:space="preserve">- </w:t>
      </w:r>
      <w:r>
        <w:rPr>
          <w:b/>
        </w:rPr>
        <w:t>Challenge:</w:t>
      </w:r>
      <w:r>
        <w:t xml:space="preserve"> Technology development exceeding capabilities</w:t>
      </w:r>
    </w:p>
    <w:p>
      <w:r>
        <w:t xml:space="preserve">- </w:t>
      </w:r>
      <w:r>
        <w:rPr>
          <w:b/>
        </w:rPr>
        <w:t>Mitigation:</w:t>
      </w:r>
      <w:r>
        <w:t xml:space="preserve"> Realistic milestone setting, international partnerships</w:t>
      </w:r>
    </w:p>
    <w:p>
      <w:r>
        <w:t xml:space="preserve">- </w:t>
      </w:r>
      <w:r>
        <w:rPr>
          <w:b/>
        </w:rPr>
        <w:t>Monitoring:</w:t>
      </w:r>
      <w:r>
        <w:t xml:space="preserve"> TRL progression tracking, alternative pathway development</w:t>
      </w:r>
    </w:p>
    <w:p>
      <w:pPr>
        <w:pStyle w:val="Heading2"/>
      </w:pPr>
      <w:r>
        <w:t>Adaptation Mechanisms</w:t>
      </w:r>
    </w:p>
    <w:p>
      <w:r/>
      <w:r>
        <w:rPr>
          <w:b/>
        </w:rPr>
        <w:t>Quarterly Strategy Adjustment:</w:t>
      </w:r>
      <w:r/>
    </w:p>
    <w:p>
      <w:pPr>
        <w:pStyle w:val="ListBullet"/>
      </w:pPr>
      <w:r>
        <w:t>Performance metric review and target refinement</w:t>
      </w:r>
    </w:p>
    <w:p>
      <w:pPr>
        <w:pStyle w:val="ListBullet"/>
      </w:pPr>
      <w:r>
        <w:t>Resource allocation optimization</w:t>
      </w:r>
    </w:p>
    <w:p>
      <w:pPr>
        <w:pStyle w:val="ListBullet"/>
      </w:pPr>
      <w:r>
        <w:t>Timeline adjustment based on progress</w:t>
      </w:r>
    </w:p>
    <w:p>
      <w:pPr>
        <w:pStyle w:val="ListBullet"/>
      </w:pPr>
      <w:r>
        <w:t>Threat landscape evolution incorporation</w:t>
      </w:r>
    </w:p>
    <w:p>
      <w:r/>
      <w:r>
        <w:rPr>
          <w:b/>
        </w:rPr>
        <w:t>Annual Program Review:</w:t>
      </w:r>
      <w:r/>
    </w:p>
    <w:p>
      <w:pPr>
        <w:pStyle w:val="ListBullet"/>
      </w:pPr>
      <w:r>
        <w:t>Comprehensive effectiveness assessment</w:t>
      </w:r>
    </w:p>
    <w:p>
      <w:pPr>
        <w:pStyle w:val="ListBullet"/>
      </w:pPr>
      <w:r>
        <w:t>Budget reallocation based on results</w:t>
      </w:r>
    </w:p>
    <w:p>
      <w:pPr>
        <w:pStyle w:val="ListBullet"/>
      </w:pPr>
      <w:r>
        <w:t>Strategic priority adjustment</w:t>
      </w:r>
    </w:p>
    <w:p>
      <w:pPr>
        <w:pStyle w:val="ListBullet"/>
      </w:pPr>
      <w:r>
        <w:t>International coordination enhancement</w:t>
      </w:r>
    </w:p>
    <w:p>
      <w:pPr>
        <w:pStyle w:val="Heading1"/>
      </w:pPr>
      <w:r>
        <w:t>Success Criteria Framework</w:t>
      </w:r>
    </w:p>
    <w:p>
      <w:pPr>
        <w:pStyle w:val="Heading2"/>
      </w:pPr>
      <w:r>
        <w:t>Tier 1: Critical Success Factors (Must Achieve)</w:t>
      </w:r>
    </w:p>
    <w:p>
      <w:r>
        <w:t xml:space="preserve">1. </w:t>
      </w:r>
      <w:r>
        <w:rPr>
          <w:b/>
        </w:rPr>
        <w:t>NTSA Operational Capability:</w:t>
      </w:r>
      <w:r>
        <w:t xml:space="preserve"> Full functionality within 12 months</w:t>
      </w:r>
    </w:p>
    <w:p>
      <w:r>
        <w:t xml:space="preserve">2. </w:t>
      </w:r>
      <w:r>
        <w:rPr>
          <w:b/>
        </w:rPr>
        <w:t>Chinese Access Reduction:</w:t>
      </w:r>
      <w:r>
        <w:t xml:space="preserve"> 50% reduction in technology penetration by Year 3</w:t>
      </w:r>
    </w:p>
    <w:p>
      <w:r>
        <w:t xml:space="preserve">3. </w:t>
      </w:r>
      <w:r>
        <w:rPr>
          <w:b/>
        </w:rPr>
        <w:t>Supply Chain Security:</w:t>
      </w:r>
      <w:r>
        <w:t xml:space="preserve"> 95% visibility into critical components by Year 3</w:t>
      </w:r>
    </w:p>
    <w:p>
      <w:r>
        <w:t xml:space="preserve">4. </w:t>
      </w:r>
      <w:r>
        <w:rPr>
          <w:b/>
        </w:rPr>
        <w:t>Legislative Framework:</w:t>
      </w:r>
      <w:r>
        <w:t xml:space="preserve"> Complete legal authority establishment by Month 6</w:t>
      </w:r>
    </w:p>
    <w:p>
      <w:pPr>
        <w:pStyle w:val="Heading2"/>
      </w:pPr>
      <w:r>
        <w:t>Tier 2: Strategic Objectives (Should Achieve)</w:t>
      </w:r>
    </w:p>
    <w:p>
      <w:r>
        <w:t xml:space="preserve">1. </w:t>
      </w:r>
      <w:r>
        <w:rPr>
          <w:b/>
        </w:rPr>
        <w:t>Technology Sovereignty:</w:t>
      </w:r>
      <w:r>
        <w:t xml:space="preserve"> 75% independence in critical technologies by Year 5</w:t>
      </w:r>
    </w:p>
    <w:p>
      <w:r>
        <w:t xml:space="preserve">2. </w:t>
      </w:r>
      <w:r>
        <w:rPr>
          <w:b/>
        </w:rPr>
        <w:t>Alliance Integration:</w:t>
      </w:r>
      <w:r>
        <w:t xml:space="preserve"> NATO 2% spending target by Year 4</w:t>
      </w:r>
    </w:p>
    <w:p>
      <w:r>
        <w:t xml:space="preserve">3. </w:t>
      </w:r>
      <w:r>
        <w:rPr>
          <w:b/>
        </w:rPr>
        <w:t>Regional Leadership:</w:t>
      </w:r>
      <w:r>
        <w:t xml:space="preserve"> Mediterranean framework establishment by Year 3</w:t>
      </w:r>
    </w:p>
    <w:p>
      <w:r>
        <w:t xml:space="preserve">4. </w:t>
      </w:r>
      <w:r>
        <w:rPr>
          <w:b/>
        </w:rPr>
        <w:t>Innovation Ecosystem:</w:t>
      </w:r>
      <w:r>
        <w:t xml:space="preserve"> Top 15 global innovation ranking by Year 5</w:t>
      </w:r>
    </w:p>
    <w:p>
      <w:pPr>
        <w:pStyle w:val="Heading2"/>
      </w:pPr>
      <w:r>
        <w:t>Tier 3: Aspirational Goals (Could Achieve)</w:t>
      </w:r>
    </w:p>
    <w:p>
      <w:r>
        <w:t xml:space="preserve">1. </w:t>
      </w:r>
      <w:r>
        <w:rPr>
          <w:b/>
        </w:rPr>
        <w:t>Global Technology Leadership:</w:t>
      </w:r>
      <w:r>
        <w:t xml:space="preserve"> Top 10 in quantum computing by Year 5</w:t>
      </w:r>
    </w:p>
    <w:p>
      <w:r>
        <w:t xml:space="preserve">2. </w:t>
      </w:r>
      <w:r>
        <w:rPr>
          <w:b/>
        </w:rPr>
        <w:t>Export Success:</w:t>
      </w:r>
      <w:r>
        <w:t xml:space="preserve"> €4B+ technology exports by Year 5</w:t>
      </w:r>
    </w:p>
    <w:p>
      <w:r>
        <w:t xml:space="preserve">3. </w:t>
      </w:r>
      <w:r>
        <w:rPr>
          <w:b/>
        </w:rPr>
        <w:t>Alliance Contribution:</w:t>
      </w:r>
      <w:r>
        <w:t xml:space="preserve"> Net positive technology sharing balance</w:t>
      </w:r>
    </w:p>
    <w:p>
      <w:r>
        <w:t xml:space="preserve">4. </w:t>
      </w:r>
      <w:r>
        <w:rPr>
          <w:b/>
        </w:rPr>
        <w:t>Academic Excellence:</w:t>
      </w:r>
      <w:r>
        <w:t xml:space="preserve"> Top 5 EU research performance</w:t>
      </w:r>
    </w:p>
    <w:p>
      <w:pPr>
        <w:pStyle w:val="Heading1"/>
      </w:pPr>
      <w:r>
        <w:t>Contingency Planning</w:t>
      </w:r>
    </w:p>
    <w:p>
      <w:pPr>
        <w:pStyle w:val="Heading2"/>
      </w:pPr>
      <w:r>
        <w:t>Scenario-Based Response Plans</w:t>
      </w:r>
    </w:p>
    <w:p>
      <w:r/>
      <w:r>
        <w:rPr>
          <w:b/>
        </w:rPr>
        <w:t>Chinese Escalation Response:</w:t>
      </w:r>
      <w:r/>
    </w:p>
    <w:p>
      <w:pPr>
        <w:pStyle w:val="ListBullet"/>
      </w:pPr>
      <w:r>
        <w:t>Enhanced screening protocols activation</w:t>
      </w:r>
    </w:p>
    <w:p>
      <w:pPr>
        <w:pStyle w:val="ListBullet"/>
      </w:pPr>
      <w:r>
        <w:t>Academic collaboration suspension procedures</w:t>
      </w:r>
    </w:p>
    <w:p>
      <w:pPr>
        <w:pStyle w:val="ListBullet"/>
      </w:pPr>
      <w:r>
        <w:t>Supply chain emergency alternative activation</w:t>
      </w:r>
    </w:p>
    <w:p>
      <w:pPr>
        <w:pStyle w:val="ListBullet"/>
      </w:pPr>
      <w:r>
        <w:t>Allied coordination intensification</w:t>
      </w:r>
    </w:p>
    <w:p>
      <w:r/>
      <w:r>
        <w:rPr>
          <w:b/>
        </w:rPr>
        <w:t>Budget Constraint Adaptation:</w:t>
      </w:r>
      <w:r/>
    </w:p>
    <w:p>
      <w:pPr>
        <w:pStyle w:val="ListBullet"/>
      </w:pPr>
      <w:r>
        <w:t>Priority program protection protocols</w:t>
      </w:r>
    </w:p>
    <w:p>
      <w:pPr>
        <w:pStyle w:val="ListBullet"/>
      </w:pPr>
      <w:r>
        <w:t>EU funding maximization strategies</w:t>
      </w:r>
    </w:p>
    <w:p>
      <w:pPr>
        <w:pStyle w:val="ListBullet"/>
      </w:pPr>
      <w:r>
        <w:t>Private sector partnership expansion</w:t>
      </w:r>
    </w:p>
    <w:p>
      <w:pPr>
        <w:pStyle w:val="ListBullet"/>
      </w:pPr>
      <w:r>
        <w:t>Timeline adjustment procedures</w:t>
      </w:r>
    </w:p>
    <w:p>
      <w:r/>
      <w:r>
        <w:rPr>
          <w:b/>
        </w:rPr>
        <w:t>Technical Development Delays:</w:t>
      </w:r>
      <w:r/>
    </w:p>
    <w:p>
      <w:pPr>
        <w:pStyle w:val="ListBullet"/>
      </w:pPr>
      <w:r>
        <w:t>Alternative pathway activation</w:t>
      </w:r>
    </w:p>
    <w:p>
      <w:pPr>
        <w:pStyle w:val="ListBullet"/>
      </w:pPr>
      <w:r>
        <w:t>International partnership acceleration</w:t>
      </w:r>
    </w:p>
    <w:p>
      <w:pPr>
        <w:pStyle w:val="ListBullet"/>
      </w:pPr>
      <w:r>
        <w:t>Commercial solution integration</w:t>
      </w:r>
    </w:p>
    <w:p>
      <w:pPr>
        <w:pStyle w:val="ListBullet"/>
      </w:pPr>
      <w:r>
        <w:t>Timeline extension with milestone adjustment</w:t>
      </w:r>
    </w:p>
    <w:p>
      <w:pPr>
        <w:pStyle w:val="Heading1"/>
      </w:pPr>
      <w:r>
        <w:t>International Coordination</w:t>
      </w:r>
    </w:p>
    <w:p>
      <w:pPr>
        <w:pStyle w:val="Heading2"/>
      </w:pPr>
      <w:r>
        <w:t>NATO Integration</w:t>
      </w:r>
    </w:p>
    <w:p>
      <w:r/>
      <w:r>
        <w:rPr>
          <w:b/>
        </w:rPr>
        <w:t>Technology Sharing Agreements:</w:t>
      </w:r>
      <w:r/>
    </w:p>
    <w:p>
      <w:pPr>
        <w:pStyle w:val="ListBullet"/>
      </w:pPr>
      <w:r>
        <w:t>Enhanced participation in NATO STO</w:t>
      </w:r>
    </w:p>
    <w:p>
      <w:pPr>
        <w:pStyle w:val="ListBullet"/>
      </w:pPr>
      <w:r>
        <w:t>DIANA program expansion</w:t>
      </w:r>
    </w:p>
    <w:p>
      <w:pPr>
        <w:pStyle w:val="ListBullet"/>
      </w:pPr>
      <w:r>
        <w:t>Joint capability development programs</w:t>
      </w:r>
    </w:p>
    <w:p>
      <w:pPr>
        <w:pStyle w:val="ListBullet"/>
      </w:pPr>
      <w:r>
        <w:t>Intelligence sharing protocol enhancement</w:t>
      </w:r>
    </w:p>
    <w:p>
      <w:r/>
      <w:r>
        <w:rPr>
          <w:b/>
        </w:rPr>
        <w:t>Burden Sharing Optimization:</w:t>
      </w:r>
      <w:r/>
    </w:p>
    <w:p>
      <w:pPr>
        <w:pStyle w:val="ListBullet"/>
      </w:pPr>
      <w:r>
        <w:t>Specialized capability development focus</w:t>
      </w:r>
    </w:p>
    <w:p>
      <w:pPr>
        <w:pStyle w:val="ListBullet"/>
      </w:pPr>
      <w:r>
        <w:t>Cost-effective contribution maximization</w:t>
      </w:r>
    </w:p>
    <w:p>
      <w:pPr>
        <w:pStyle w:val="ListBullet"/>
      </w:pPr>
      <w:r>
        <w:t>Regional responsibility enhancement</w:t>
      </w:r>
    </w:p>
    <w:p>
      <w:pPr>
        <w:pStyle w:val="ListBullet"/>
      </w:pPr>
      <w:r>
        <w:t>Alliance value demonstration</w:t>
      </w:r>
    </w:p>
    <w:p>
      <w:pPr>
        <w:pStyle w:val="Heading2"/>
      </w:pPr>
      <w:r>
        <w:t>EU Collaboration</w:t>
      </w:r>
    </w:p>
    <w:p>
      <w:r/>
      <w:r>
        <w:rPr>
          <w:b/>
        </w:rPr>
        <w:t>Program Integration:</w:t>
      </w:r>
      <w:r/>
    </w:p>
    <w:p>
      <w:pPr>
        <w:pStyle w:val="ListBullet"/>
      </w:pPr>
      <w:r>
        <w:t>European Defence Fund leadership</w:t>
      </w:r>
    </w:p>
    <w:p>
      <w:pPr>
        <w:pStyle w:val="ListBullet"/>
      </w:pPr>
      <w:r>
        <w:t>Horizon Europe maximum participation</w:t>
      </w:r>
    </w:p>
    <w:p>
      <w:pPr>
        <w:pStyle w:val="ListBullet"/>
      </w:pPr>
      <w:r>
        <w:t>EU Chips Act implementation leadership</w:t>
      </w:r>
    </w:p>
    <w:p>
      <w:pPr>
        <w:pStyle w:val="ListBullet"/>
      </w:pPr>
      <w:r>
        <w:t>EuroHPC expansion contribution</w:t>
      </w:r>
    </w:p>
    <w:p>
      <w:r/>
      <w:r>
        <w:rPr>
          <w:b/>
        </w:rPr>
        <w:t>Regulatory Coordination:</w:t>
      </w:r>
      <w:r/>
    </w:p>
    <w:p>
      <w:pPr>
        <w:pStyle w:val="ListBullet"/>
      </w:pPr>
      <w:r>
        <w:t>Investment screening harmonization</w:t>
      </w:r>
    </w:p>
    <w:p>
      <w:pPr>
        <w:pStyle w:val="ListBullet"/>
      </w:pPr>
      <w:r>
        <w:t>Technology transfer standard alignment</w:t>
      </w:r>
    </w:p>
    <w:p>
      <w:pPr>
        <w:pStyle w:val="ListBullet"/>
      </w:pPr>
      <w:r>
        <w:t>Academic security protocol coordination</w:t>
      </w:r>
    </w:p>
    <w:p>
      <w:pPr>
        <w:pStyle w:val="ListBullet"/>
      </w:pPr>
      <w:r>
        <w:t>Crisis response mechanism integration</w:t>
      </w:r>
    </w:p>
    <w:p>
      <w:pPr>
        <w:pStyle w:val="Heading2"/>
      </w:pPr>
      <w:r>
        <w:t>Indo-Pacific Partnerships</w:t>
      </w:r>
    </w:p>
    <w:p>
      <w:r/>
      <w:r>
        <w:rPr>
          <w:b/>
        </w:rPr>
        <w:t>Strategic Technology Cooperation:</w:t>
      </w:r>
      <w:r/>
    </w:p>
    <w:p>
      <w:pPr>
        <w:pStyle w:val="ListBullet"/>
      </w:pPr>
      <w:r>
        <w:t>Japan: Quantum computing, semiconductor partnership</w:t>
      </w:r>
    </w:p>
    <w:p>
      <w:pPr>
        <w:pStyle w:val="ListBullet"/>
      </w:pPr>
      <w:r>
        <w:t>Australia: Cyber defense, space systems collaboration</w:t>
      </w:r>
    </w:p>
    <w:p>
      <w:pPr>
        <w:pStyle w:val="ListBullet"/>
      </w:pPr>
      <w:r>
        <w:t>South Korea: Advanced manufacturing, AI cooperation</w:t>
      </w:r>
    </w:p>
    <w:p>
      <w:pPr>
        <w:pStyle w:val="ListBullet"/>
      </w:pPr>
      <w:r>
        <w:t>India: Space technology, defense electronics partnership</w:t>
      </w:r>
    </w:p>
    <w:p>
      <w:pPr>
        <w:pStyle w:val="Heading1"/>
      </w:pPr>
      <w:r>
        <w:t>Quality Assurance Framework</w:t>
      </w:r>
    </w:p>
    <w:p>
      <w:pPr>
        <w:pStyle w:val="Heading2"/>
      </w:pPr>
      <w:r>
        <w:t>Implementation Monitoring</w:t>
      </w:r>
    </w:p>
    <w:p>
      <w:r/>
      <w:r>
        <w:rPr>
          <w:b/>
        </w:rPr>
        <w:t>Monthly Progress Reports:</w:t>
      </w:r>
      <w:r/>
    </w:p>
    <w:p>
      <w:pPr>
        <w:pStyle w:val="ListBullet"/>
      </w:pPr>
      <w:r>
        <w:t>Milestone achievement tracking</w:t>
      </w:r>
    </w:p>
    <w:p>
      <w:pPr>
        <w:pStyle w:val="ListBullet"/>
      </w:pPr>
      <w:r>
        <w:t>Budget execution analysis</w:t>
      </w:r>
    </w:p>
    <w:p>
      <w:pPr>
        <w:pStyle w:val="ListBullet"/>
      </w:pPr>
      <w:r>
        <w:t>Personnel deployment status</w:t>
      </w:r>
    </w:p>
    <w:p>
      <w:pPr>
        <w:pStyle w:val="ListBullet"/>
      </w:pPr>
      <w:r>
        <w:t>Risk indicator assessment</w:t>
      </w:r>
    </w:p>
    <w:p>
      <w:r/>
      <w:r>
        <w:rPr>
          <w:b/>
        </w:rPr>
        <w:t>Quarterly Strategic Assessment:</w:t>
      </w:r>
      <w:r/>
    </w:p>
    <w:p>
      <w:pPr>
        <w:pStyle w:val="ListBullet"/>
      </w:pPr>
      <w:r>
        <w:t>Overall program effectiveness evaluation</w:t>
      </w:r>
    </w:p>
    <w:p>
      <w:pPr>
        <w:pStyle w:val="ListBullet"/>
      </w:pPr>
      <w:r>
        <w:t>Strategic objective progress analysis</w:t>
      </w:r>
    </w:p>
    <w:p>
      <w:pPr>
        <w:pStyle w:val="ListBullet"/>
      </w:pPr>
      <w:r>
        <w:t>International coordination success measurement</w:t>
      </w:r>
    </w:p>
    <w:p>
      <w:pPr>
        <w:pStyle w:val="ListBullet"/>
      </w:pPr>
      <w:r>
        <w:t>Adaptation requirement identification</w:t>
      </w:r>
    </w:p>
    <w:p>
      <w:r/>
      <w:r>
        <w:rPr>
          <w:b/>
        </w:rPr>
        <w:t>Annual Comprehensive Review:</w:t>
      </w:r>
      <w:r/>
    </w:p>
    <w:p>
      <w:pPr>
        <w:pStyle w:val="ListBullet"/>
      </w:pPr>
      <w:r>
        <w:t>Complete program portfolio assessment</w:t>
      </w:r>
    </w:p>
    <w:p>
      <w:pPr>
        <w:pStyle w:val="ListBullet"/>
      </w:pPr>
      <w:r>
        <w:t>Success criteria achievement evaluation</w:t>
      </w:r>
    </w:p>
    <w:p>
      <w:pPr>
        <w:pStyle w:val="ListBullet"/>
      </w:pPr>
      <w:r>
        <w:t>Strategic direction adjustment recommendation</w:t>
      </w:r>
    </w:p>
    <w:p>
      <w:pPr>
        <w:pStyle w:val="ListBullet"/>
      </w:pPr>
      <w:r>
        <w:t>Resource optimization analysis</w:t>
      </w:r>
    </w:p>
    <w:p>
      <w:pPr>
        <w:pStyle w:val="Heading2"/>
      </w:pPr>
      <w:r>
        <w:t>External Evaluation</w:t>
      </w:r>
    </w:p>
    <w:p>
      <w:r/>
      <w:r>
        <w:rPr>
          <w:b/>
        </w:rPr>
        <w:t>Parliamentary Oversight:</w:t>
      </w:r>
      <w:r/>
    </w:p>
    <w:p>
      <w:pPr>
        <w:pStyle w:val="ListBullet"/>
      </w:pPr>
      <w:r>
        <w:t>Quarterly briefings to defense and intelligence committees</w:t>
      </w:r>
    </w:p>
    <w:p>
      <w:pPr>
        <w:pStyle w:val="ListBullet"/>
      </w:pPr>
      <w:r>
        <w:t>Annual comprehensive program review</w:t>
      </w:r>
    </w:p>
    <w:p>
      <w:pPr>
        <w:pStyle w:val="ListBullet"/>
      </w:pPr>
      <w:r>
        <w:t>Budget justification and effectiveness demonstration</w:t>
      </w:r>
    </w:p>
    <w:p>
      <w:pPr>
        <w:pStyle w:val="ListBullet"/>
      </w:pPr>
      <w:r>
        <w:t>Public accountability measures</w:t>
      </w:r>
    </w:p>
    <w:p>
      <w:r/>
      <w:r>
        <w:rPr>
          <w:b/>
        </w:rPr>
        <w:t>Allied Assessment:</w:t>
      </w:r>
      <w:r/>
    </w:p>
    <w:p>
      <w:pPr>
        <w:pStyle w:val="ListBullet"/>
      </w:pPr>
      <w:r>
        <w:t>NATO interoperability evaluation</w:t>
      </w:r>
    </w:p>
    <w:p>
      <w:pPr>
        <w:pStyle w:val="ListBullet"/>
      </w:pPr>
      <w:r>
        <w:t>EU program integration assessment</w:t>
      </w:r>
    </w:p>
    <w:p>
      <w:pPr>
        <w:pStyle w:val="ListBullet"/>
      </w:pPr>
      <w:r>
        <w:t>Technology sharing effectiveness measurement</w:t>
      </w:r>
    </w:p>
    <w:p>
      <w:pPr>
        <w:pStyle w:val="ListBullet"/>
      </w:pPr>
      <w:r>
        <w:t>Burden sharing contribution analysis</w:t>
      </w:r>
    </w:p>
    <w:p>
      <w:r/>
      <w:r>
        <w:rPr>
          <w:b/>
        </w:rPr>
        <w:t>Academic Evaluation:</w:t>
      </w:r>
      <w:r/>
    </w:p>
    <w:p>
      <w:pPr>
        <w:pStyle w:val="ListBullet"/>
      </w:pPr>
      <w:r>
        <w:t>Independent research institution assessment</w:t>
      </w:r>
    </w:p>
    <w:p>
      <w:pPr>
        <w:pStyle w:val="ListBullet"/>
      </w:pPr>
      <w:r>
        <w:t>International comparative analysis</w:t>
      </w:r>
    </w:p>
    <w:p>
      <w:pPr>
        <w:pStyle w:val="ListBullet"/>
      </w:pPr>
      <w:r>
        <w:t>Best practice identification and integration</w:t>
      </w:r>
    </w:p>
    <w:p>
      <w:pPr>
        <w:pStyle w:val="ListBullet"/>
      </w:pPr>
      <w:r>
        <w:t>Continuous improvement recommendation</w:t>
      </w:r>
    </w:p>
    <w:p>
      <w:pPr>
        <w:pStyle w:val="Heading1"/>
      </w:pPr>
      <w:r>
        <w:t>Conclusion</w:t>
      </w:r>
    </w:p>
    <w:p>
      <w:r>
        <w:t>The implementation of Italy's technology security transformation represents one of the most comprehensive national security undertakings since the Cold War. Success requires sustained political commitment, adequate resource allocation, effective cross-agency coordination, and strong international partnerships.</w:t>
      </w:r>
    </w:p>
    <w:p>
      <w:r/>
      <w:r>
        <w:rPr>
          <w:b/>
        </w:rPr>
        <w:t>Critical Implementation Findings:</w:t>
      </w:r>
      <w:r/>
    </w:p>
    <w:p>
      <w:r>
        <w:t xml:space="preserve">1. </w:t>
      </w:r>
      <w:r>
        <w:rPr>
          <w:b/>
        </w:rPr>
        <w:t>Immediate Action Required:</w:t>
      </w:r>
      <w:r>
        <w:t xml:space="preserve"> Legislative framework must be established within 6 months</w:t>
      </w:r>
    </w:p>
    <w:p>
      <w:r>
        <w:t xml:space="preserve">2. </w:t>
      </w:r>
      <w:r>
        <w:rPr>
          <w:b/>
        </w:rPr>
        <w:t>Resource Intensity:</w:t>
      </w:r>
      <w:r>
        <w:t xml:space="preserve"> €2.3B investment over 5 years essential for success</w:t>
      </w:r>
    </w:p>
    <w:p>
      <w:r>
        <w:t xml:space="preserve">3. </w:t>
      </w:r>
      <w:r>
        <w:rPr>
          <w:b/>
        </w:rPr>
        <w:t>Coordination Complexity:</w:t>
      </w:r>
      <w:r>
        <w:t xml:space="preserve"> 15+ agencies requiring unprecedented cooperation</w:t>
      </w:r>
    </w:p>
    <w:p>
      <w:r>
        <w:t xml:space="preserve">4. </w:t>
      </w:r>
      <w:r>
        <w:rPr>
          <w:b/>
        </w:rPr>
        <w:t>Allied Integration:</w:t>
      </w:r>
      <w:r>
        <w:t xml:space="preserve"> NATO/EU partnerships critical for capability and cost-effectiveness</w:t>
      </w:r>
    </w:p>
    <w:p>
      <w:r/>
      <w:r>
        <w:rPr>
          <w:b/>
        </w:rPr>
        <w:t>Priority Implementation Actions:</w:t>
      </w:r>
      <w:r/>
    </w:p>
    <w:p>
      <w:r>
        <w:t xml:space="preserve">1. </w:t>
      </w:r>
      <w:r>
        <w:rPr>
          <w:b/>
        </w:rPr>
        <w:t>Week 1:</w:t>
      </w:r>
      <w:r>
        <w:t xml:space="preserve"> Establish NTSA interim team and begin Chinese researcher census</w:t>
      </w:r>
    </w:p>
    <w:p>
      <w:r>
        <w:t xml:space="preserve">2. </w:t>
      </w:r>
      <w:r>
        <w:rPr>
          <w:b/>
        </w:rPr>
        <w:t>Month 1:</w:t>
      </w:r>
      <w:r>
        <w:t xml:space="preserve"> Launch legislative drafting process for Technology Security Act</w:t>
      </w:r>
    </w:p>
    <w:p>
      <w:r>
        <w:t xml:space="preserve">3. </w:t>
      </w:r>
      <w:r>
        <w:rPr>
          <w:b/>
        </w:rPr>
        <w:t>Month 3:</w:t>
      </w:r>
      <w:r>
        <w:t xml:space="preserve"> Deploy conference intelligence system for immediate threat reduction</w:t>
      </w:r>
    </w:p>
    <w:p>
      <w:r>
        <w:t xml:space="preserve">4. </w:t>
      </w:r>
      <w:r>
        <w:rPr>
          <w:b/>
        </w:rPr>
        <w:t>Month 6:</w:t>
      </w:r>
      <w:r>
        <w:t xml:space="preserve"> Achieve NTSA full operational capability</w:t>
      </w:r>
    </w:p>
    <w:p>
      <w:r>
        <w:t xml:space="preserve">5. </w:t>
      </w:r>
      <w:r>
        <w:rPr>
          <w:b/>
        </w:rPr>
        <w:t>Year 1:</w:t>
      </w:r>
      <w:r>
        <w:t xml:space="preserve"> Demonstrate 50% reduction in unvetted Chinese technology access</w:t>
      </w:r>
    </w:p>
    <w:p>
      <w:r>
        <w:t>The window for effective implementation is closing as Chinese technology acquisition efforts intensify and technological advantages erode. Decisive action in the next 12 months will determine whether Italy emerges as a technology-sovereign NATO leader or becomes increasingly dependent on adversary-controlled systems.</w:t>
      </w:r>
    </w:p>
    <w:p>
      <w:r>
        <w:t>The success or failure of this implementation will serve as a model for other NATO allies facing similar challenges, making Italy's experience critical not only for national security but for the broader Western alliance's technological competitiveness in an era of great power competition.</w:t>
      </w:r>
    </w:p>
    <w:p>
      <w:pPr>
        <w:pStyle w:val="ListBullet"/>
      </w:pPr>
    </w:p>
    <w:p>
      <w:pPr>
        <w:pStyle w:val="ListBullet"/>
      </w:pPr>
      <w:r>
        <w:t>End of Phase 13 - Implementation Complete*</w:t>
      </w:r>
    </w:p>
    <w:p>
      <w:pPr>
        <w:pStyle w:val="Heading1"/>
      </w:pPr>
      <w:r>
        <w:t>Final Assessment Summary</w:t>
      </w:r>
    </w:p>
    <w:p>
      <w:r>
        <w:t>This comprehensive 13-phase analysis provides Italy with a complete roadmap for achieving technology security and strategic autonomy while maintaining strong alliance relationships. The total estimated investment of €2.3B over 5 years, while substantial, is essential for preserving Italy's technological sovereignty and preventing systematic technology transfer to potential adversaries.</w:t>
      </w:r>
    </w:p>
    <w:p>
      <w:r/>
      <w:r>
        <w:rPr>
          <w:b/>
        </w:rPr>
        <w:t>Overall Confidence Level:</w:t>
      </w:r>
      <w:r>
        <w:t xml:space="preserve"> HIGH for analysis framework, MEDIUM-HIGH for implementation success (dependent on political commitment and resource allocation)</w:t>
      </w:r>
    </w:p>
    <w:p>
      <w:r/>
      <w:r>
        <w:rPr>
          <w:b/>
        </w:rPr>
        <w:t>Strategic Recommendation:</w:t>
      </w:r>
      <w:r>
        <w:t xml:space="preserve"> Immediate implementation of Phase 1 emergency measures within 90 days to prevent further technology loss while building comprehensive long-term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