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a32fe9e25db83cd75558bf2414c945eb1b177d1"/>
    <w:p>
      <w:pPr>
        <w:pStyle w:val="Heading1"/>
      </w:pPr>
      <w:r>
        <w:t xml:space="preserve">Italy — Phase 01 (Setup &amp; Narratives) — CITED Edition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2025-09-13</w:t>
      </w:r>
      <w:r>
        <w:br/>
      </w:r>
      <w:r>
        <w:rPr>
          <w:b/>
          <w:bCs/>
        </w:rPr>
        <w:t xml:space="preserve">Mode:</w:t>
      </w:r>
      <w:r>
        <w:t xml:space="preserve"> </w:t>
      </w:r>
      <w:r>
        <w:t xml:space="preserve">INTEGRATED (artifacts + web)</w:t>
      </w:r>
      <w:r>
        <w:br/>
      </w:r>
      <w:r>
        <w:rPr>
          <w:b/>
          <w:bCs/>
        </w:rPr>
        <w:t xml:space="preserve">Provenance:</w:t>
      </w:r>
      <w:r>
        <w:t xml:space="preserve"> </w:t>
      </w:r>
      <w:r>
        <w:t xml:space="preserve">mixed (web|artifact)</w:t>
      </w:r>
    </w:p>
    <w:bookmarkStart w:id="20" w:name="scope-snapshot-from-artifacts"/>
    <w:p>
      <w:pPr>
        <w:pStyle w:val="Heading2"/>
      </w:pPr>
      <w:r>
        <w:t xml:space="preserve">1) Scope snapshot (from artifacts)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Priority regions:</w:t>
      </w:r>
      <w:r>
        <w:t xml:space="preserve"> </w:t>
      </w:r>
      <w:r>
        <w:t xml:space="preserve">Lombardia–Milan; Lazio–Rome; Piemonte–Turin; Campania–Naples; Emilia‑Romagna–Bologna [A1].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 priorities:</w:t>
      </w:r>
      <w:r>
        <w:t xml:space="preserve"> </w:t>
      </w:r>
      <w:r>
        <w:t xml:space="preserve">Space &amp; EO; Cybersecurity &amp; Quantum; Naval &amp; maritime; Advanced manufacturing; Green energy [A1].</w:t>
      </w:r>
    </w:p>
    <w:bookmarkEnd w:id="20"/>
    <w:bookmarkStart w:id="21" w:name="X65a0ab122548b536c3ea6e33f802b7b5fa23cff"/>
    <w:p>
      <w:pPr>
        <w:pStyle w:val="Heading2"/>
      </w:pPr>
      <w:r>
        <w:t xml:space="preserve">2) Core public narratives to test — with fact‑checks</w:t>
      </w:r>
    </w:p>
    <w:p>
      <w:pPr>
        <w:pStyle w:val="FirstParagraph"/>
      </w:pPr>
      <w:r>
        <w:rPr>
          <w:b/>
          <w:bCs/>
        </w:rPr>
        <w:t xml:space="preserve">A.</w:t>
      </w:r>
      <w:r>
        <w:rPr>
          <w:b/>
          <w:bCs/>
        </w:rPr>
        <w:t xml:space="preserve"> </w:t>
      </w:r>
      <w:r>
        <w:rPr>
          <w:b/>
          <w:bCs/>
        </w:rPr>
        <w:t xml:space="preserve">“Italy is too dependent on Chinese investment and technology.”</w:t>
      </w:r>
      <w:r>
        <w:t xml:space="preserve"> </w:t>
      </w:r>
      <w:r>
        <w:t xml:space="preserve">Italy formally exited the BRI by</w:t>
      </w:r>
      <w:r>
        <w:t xml:space="preserve"> </w:t>
      </w:r>
      <w:r>
        <w:rPr>
          <w:b/>
          <w:bCs/>
        </w:rPr>
        <w:t xml:space="preserve">not renewing the 2019 MoU on 2023‑12‑06</w:t>
      </w:r>
      <w:r>
        <w:t xml:space="preserve"> </w:t>
      </w:r>
      <w:r>
        <w:t xml:space="preserve">[1]; since 2020 it has tightened</w:t>
      </w:r>
      <w:r>
        <w:t xml:space="preserve"> </w:t>
      </w:r>
      <w:r>
        <w:rPr>
          <w:b/>
          <w:bCs/>
        </w:rPr>
        <w:t xml:space="preserve">Golden Power</w:t>
      </w:r>
      <w:r>
        <w:t xml:space="preserve"> </w:t>
      </w:r>
      <w:r>
        <w:t xml:space="preserve">screening and the</w:t>
      </w:r>
      <w:r>
        <w:t xml:space="preserve"> </w:t>
      </w:r>
      <w:r>
        <w:rPr>
          <w:b/>
          <w:bCs/>
        </w:rPr>
        <w:t xml:space="preserve">national cyber‑perimeter</w:t>
      </w:r>
      <w:r>
        <w:t xml:space="preserve"> </w:t>
      </w:r>
      <w:r>
        <w:t xml:space="preserve">regime (sectoral, risk‑based) rather than imposing blanket vendor bans [2][3]. Assessment:</w:t>
      </w:r>
      <w:r>
        <w:t xml:space="preserve"> </w:t>
      </w:r>
      <w:r>
        <w:rPr>
          <w:b/>
          <w:bCs/>
        </w:rPr>
        <w:t xml:space="preserve">Partly true</w:t>
      </w:r>
      <w:r>
        <w:t xml:space="preserve"> </w:t>
      </w:r>
      <w:r>
        <w:t xml:space="preserve">(exposure is</w:t>
      </w:r>
      <w:r>
        <w:t xml:space="preserve"> </w:t>
      </w:r>
      <w:r>
        <w:rPr>
          <w:b/>
          <w:bCs/>
        </w:rPr>
        <w:t xml:space="preserve">selective</w:t>
      </w:r>
      <w:r>
        <w:t xml:space="preserve"> </w:t>
      </w:r>
      <w:r>
        <w:t xml:space="preserve">and managed via case‑by‑case controls); watch areas include specific JV research links and upstream inputs.</w:t>
      </w:r>
    </w:p>
    <w:p>
      <w:pPr>
        <w:pStyle w:val="BodyText"/>
      </w:pPr>
      <w:r>
        <w:rPr>
          <w:b/>
          <w:bCs/>
        </w:rPr>
        <w:t xml:space="preserve">B.</w:t>
      </w:r>
      <w:r>
        <w:rPr>
          <w:b/>
          <w:bCs/>
        </w:rPr>
        <w:t xml:space="preserve"> </w:t>
      </w:r>
      <w:r>
        <w:rPr>
          <w:b/>
          <w:bCs/>
        </w:rPr>
        <w:t xml:space="preserve">“Italy cannot meet the NATO 2% defense target.”</w:t>
      </w:r>
      <w:r>
        <w:t xml:space="preserve"> </w:t>
      </w:r>
      <w:r>
        <w:t xml:space="preserve">As of the latest NATO defence‑expenditure publication, Italy remains</w:t>
      </w:r>
      <w:r>
        <w:t xml:space="preserve"> </w:t>
      </w:r>
      <w:r>
        <w:rPr>
          <w:b/>
          <w:bCs/>
        </w:rPr>
        <w:t xml:space="preserve">below 2% of GDP</w:t>
      </w:r>
      <w:r>
        <w:t xml:space="preserve">, with domestic debate continuing on timelines and accounting scope [4]. Assessment:</w:t>
      </w:r>
      <w:r>
        <w:t xml:space="preserve"> </w:t>
      </w:r>
      <w:r>
        <w:rPr>
          <w:b/>
          <w:bCs/>
        </w:rPr>
        <w:t xml:space="preserve">Directionally true today</w:t>
      </w:r>
      <w:r>
        <w:t xml:space="preserve">, pending policy shifts.</w:t>
      </w:r>
    </w:p>
    <w:bookmarkEnd w:id="21"/>
    <w:bookmarkStart w:id="22" w:name="Xbaca29e439b2ea2ecfd0bb9b352a293db1593fb"/>
    <w:p>
      <w:pPr>
        <w:pStyle w:val="Heading2"/>
      </w:pPr>
      <w:r>
        <w:t xml:space="preserve">3) Anchor cross‑checks (policy claims vs texts)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PNRR</w:t>
      </w:r>
      <w:r>
        <w:rPr>
          <w:b/>
          <w:bCs/>
        </w:rPr>
        <w:t xml:space="preserve"> </w:t>
      </w:r>
      <w:r>
        <w:rPr>
          <w:b/>
          <w:bCs/>
        </w:rPr>
        <w:t xml:space="preserve">“5G vendor ban”</w:t>
      </w:r>
      <w:r>
        <w:rPr>
          <w:b/>
          <w:bCs/>
        </w:rPr>
        <w:t xml:space="preserve">.</w:t>
      </w:r>
      <w:r>
        <w:t xml:space="preserve"> </w:t>
      </w:r>
      <w:r>
        <w:t xml:space="preserve">The PNRR sets funding and governance for digital transition but</w:t>
      </w:r>
      <w:r>
        <w:t xml:space="preserve"> </w:t>
      </w:r>
      <w:r>
        <w:rPr>
          <w:b/>
          <w:bCs/>
        </w:rPr>
        <w:t xml:space="preserve">does not establish vendor‑named telecom bans</w:t>
      </w:r>
      <w:r>
        <w:t xml:space="preserve">; telecom security controls derive from DPCM and Golden Power law [5][2].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Golden Power</w:t>
      </w:r>
      <w:r>
        <w:rPr>
          <w:b/>
          <w:bCs/>
        </w:rPr>
        <w:t xml:space="preserve"> </w:t>
      </w:r>
      <w:r>
        <w:rPr>
          <w:b/>
          <w:bCs/>
        </w:rPr>
        <w:t xml:space="preserve">“blocks all Chinese tech investments”</w:t>
      </w:r>
      <w:r>
        <w:rPr>
          <w:b/>
          <w:bCs/>
        </w:rPr>
        <w:t xml:space="preserve">.</w:t>
      </w:r>
      <w:r>
        <w:t xml:space="preserve"> </w:t>
      </w:r>
      <w:r>
        <w:t xml:space="preserve">The regime grants</w:t>
      </w:r>
      <w:r>
        <w:t xml:space="preserve"> </w:t>
      </w:r>
      <w:r>
        <w:rPr>
          <w:b/>
          <w:bCs/>
        </w:rPr>
        <w:t xml:space="preserve">case‑by‑case special powers</w:t>
      </w:r>
      <w:r>
        <w:t xml:space="preserve"> </w:t>
      </w:r>
      <w:r>
        <w:t xml:space="preserve">(including conditions and vetoes) over strategic sectors; amendments 2022–2023 broadened scope, but</w:t>
      </w:r>
      <w:r>
        <w:t xml:space="preserve"> </w:t>
      </w:r>
      <w:r>
        <w:rPr>
          <w:b/>
          <w:bCs/>
        </w:rPr>
        <w:t xml:space="preserve">no blanket country ban</w:t>
      </w:r>
      <w:r>
        <w:t xml:space="preserve"> </w:t>
      </w:r>
      <w:r>
        <w:t xml:space="preserve">exists [2].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National cyber strategy bans Chinese software.</w:t>
      </w:r>
      <w:r>
        <w:t xml:space="preserve"> </w:t>
      </w:r>
      <w:r>
        <w:t xml:space="preserve">The 2020 perimeter/implementing measures are</w:t>
      </w:r>
      <w:r>
        <w:t xml:space="preserve"> </w:t>
      </w:r>
      <w:r>
        <w:rPr>
          <w:b/>
          <w:bCs/>
        </w:rPr>
        <w:t xml:space="preserve">risk‑based</w:t>
      </w:r>
      <w:r>
        <w:t xml:space="preserve">; no vendor‑named universal software ban is present in the cited anchors [3].</w:t>
      </w:r>
    </w:p>
    <w:bookmarkEnd w:id="22"/>
    <w:bookmarkStart w:id="23" w:name="analyst-judgments-phase1-level"/>
    <w:p>
      <w:pPr>
        <w:pStyle w:val="Heading2"/>
      </w:pPr>
      <w:r>
        <w:t xml:space="preserve">4) Analyst judgments (Phase‑1 level)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Narrative A (China dependency):</w:t>
      </w:r>
      <w:r>
        <w:t xml:space="preserve"> </w:t>
      </w:r>
      <w:r>
        <w:rPr>
          <w:i/>
          <w:iCs/>
        </w:rPr>
        <w:t xml:space="preserve">Partly true.</w:t>
      </w:r>
      <w:r>
        <w:t xml:space="preserve"> </w:t>
      </w:r>
      <w:r>
        <w:t xml:space="preserve">Controls and governance have materially increased (2019–2024), while exposures persist in niche vectors; overall dependency appears</w:t>
      </w:r>
      <w:r>
        <w:t xml:space="preserve"> </w:t>
      </w:r>
      <w:r>
        <w:rPr>
          <w:b/>
          <w:bCs/>
        </w:rPr>
        <w:t xml:space="preserve">governable</w:t>
      </w:r>
      <w:r>
        <w:t xml:space="preserve"> </w:t>
      </w:r>
      <w:r>
        <w:t xml:space="preserve">under present tools [1][2][3].</w:t>
      </w:r>
      <w:r>
        <w:t xml:space="preserve"> </w:t>
      </w:r>
      <w:r>
        <w:rPr>
          <w:b/>
          <w:bCs/>
        </w:rPr>
        <w:t xml:space="preserve">Confidence:</w:t>
      </w:r>
      <w:r>
        <w:t xml:space="preserve"> </w:t>
      </w:r>
      <w:r>
        <w:t xml:space="preserve">Medium.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Narrative B (2% target):</w:t>
      </w:r>
      <w:r>
        <w:t xml:space="preserve"> </w:t>
      </w:r>
      <w:r>
        <w:rPr>
          <w:i/>
          <w:iCs/>
        </w:rPr>
        <w:t xml:space="preserve">Likely true at present</w:t>
      </w:r>
      <w:r>
        <w:t xml:space="preserve">; trajectory remains below 2% in current tables absent a decisive policy and budget shift [4].</w:t>
      </w:r>
      <w:r>
        <w:t xml:space="preserve"> </w:t>
      </w:r>
      <w:r>
        <w:rPr>
          <w:b/>
          <w:bCs/>
        </w:rPr>
        <w:t xml:space="preserve">Confidence:</w:t>
      </w:r>
      <w:r>
        <w:t xml:space="preserve"> </w:t>
      </w:r>
      <w:r>
        <w:t xml:space="preserve">Medium‑High.</w:t>
      </w:r>
    </w:p>
    <w:bookmarkEnd w:id="23"/>
    <w:bookmarkStart w:id="24" w:name="web-research-notes-12line-takeaways"/>
    <w:p>
      <w:pPr>
        <w:pStyle w:val="Heading2"/>
      </w:pPr>
      <w:r>
        <w:t xml:space="preserve">5) Web Research Notes (1–2‑line takeaways)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BRI exit timeline:</w:t>
      </w:r>
      <w:r>
        <w:t xml:space="preserve"> </w:t>
      </w:r>
      <w:r>
        <w:t xml:space="preserve">Government confirmed</w:t>
      </w:r>
      <w:r>
        <w:t xml:space="preserve"> </w:t>
      </w:r>
      <w:r>
        <w:rPr>
          <w:b/>
          <w:bCs/>
        </w:rPr>
        <w:t xml:space="preserve">non‑renewal</w:t>
      </w:r>
      <w:r>
        <w:t xml:space="preserve"> </w:t>
      </w:r>
      <w:r>
        <w:t xml:space="preserve">of the 2019 BRI MoU on</w:t>
      </w:r>
      <w:r>
        <w:t xml:space="preserve"> </w:t>
      </w:r>
      <w:r>
        <w:rPr>
          <w:b/>
          <w:bCs/>
        </w:rPr>
        <w:t xml:space="preserve">2023‑12‑06</w:t>
      </w:r>
      <w:r>
        <w:t xml:space="preserve">; subsequent statements emphasize EU/NATO alignment [1].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Golden Power practice:</w:t>
      </w:r>
      <w:r>
        <w:t xml:space="preserve"> </w:t>
      </w:r>
      <w:r>
        <w:t xml:space="preserve">Amendments capture 5G/cloud and intragroup operations in critical technologies; decisions are</w:t>
      </w:r>
      <w:r>
        <w:t xml:space="preserve"> </w:t>
      </w:r>
      <w:r>
        <w:rPr>
          <w:b/>
          <w:bCs/>
        </w:rPr>
        <w:t xml:space="preserve">decision‑specific</w:t>
      </w:r>
      <w:r>
        <w:t xml:space="preserve"> </w:t>
      </w:r>
      <w:r>
        <w:t xml:space="preserve">rather than categorical bans [2].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Cyber perimeter:</w:t>
      </w:r>
      <w:r>
        <w:t xml:space="preserve"> </w:t>
      </w:r>
      <w:r>
        <w:t xml:space="preserve">DPCM</w:t>
      </w:r>
      <w:r>
        <w:t xml:space="preserve"> </w:t>
      </w:r>
      <w:r>
        <w:rPr>
          <w:b/>
          <w:bCs/>
        </w:rPr>
        <w:t xml:space="preserve">131/2020</w:t>
      </w:r>
      <w:r>
        <w:t xml:space="preserve"> </w:t>
      </w:r>
      <w:r>
        <w:t xml:space="preserve">and subsequent acts define a</w:t>
      </w:r>
      <w:r>
        <w:t xml:space="preserve"> </w:t>
      </w:r>
      <w:r>
        <w:rPr>
          <w:b/>
          <w:bCs/>
        </w:rPr>
        <w:t xml:space="preserve">risk‑based</w:t>
      </w:r>
      <w:r>
        <w:t xml:space="preserve"> </w:t>
      </w:r>
      <w:r>
        <w:t xml:space="preserve">national perimeter (telecom, cloud, energy, etc.) [3].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PNRR:</w:t>
      </w:r>
      <w:r>
        <w:t xml:space="preserve"> </w:t>
      </w:r>
      <w:r>
        <w:t xml:space="preserve">Digital transition is mission‑based funding; security controls live in separate legal anchors [5].</w:t>
      </w:r>
    </w:p>
    <w:bookmarkEnd w:id="24"/>
    <w:bookmarkStart w:id="25" w:name="tickets-for-claude-code-ingestrefresh"/>
    <w:p>
      <w:pPr>
        <w:pStyle w:val="Heading2"/>
      </w:pPr>
      <w:r>
        <w:t xml:space="preserve">6) Tickets for Claude Code (ingest/refresh)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Legal anchors pack (telecom &amp; cyber):</w:t>
      </w:r>
      <w:r>
        <w:t xml:space="preserve"> </w:t>
      </w:r>
      <w:r>
        <w:t xml:space="preserve">Ingest full texts and metadata for</w:t>
      </w:r>
      <w:r>
        <w:t xml:space="preserve"> </w:t>
      </w:r>
      <w:r>
        <w:rPr>
          <w:b/>
          <w:bCs/>
        </w:rPr>
        <w:t xml:space="preserve">DPCM 131/2020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DL 21/2022 Art. 28</w:t>
      </w:r>
      <w:r>
        <w:t xml:space="preserve">, including</w:t>
      </w:r>
      <w:r>
        <w:t xml:space="preserve"> </w:t>
      </w:r>
      <w:r>
        <w:rPr>
          <w:rStyle w:val="VerbatimChar"/>
        </w:rPr>
        <w:t xml:space="preserve">bindingness</w:t>
      </w:r>
      <w:r>
        <w:t xml:space="preserve">,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effective_date</w:t>
      </w:r>
      <w:r>
        <w:t xml:space="preserve">, and amendment lineage into</w:t>
      </w:r>
      <w:r>
        <w:t xml:space="preserve"> </w:t>
      </w:r>
      <w:r>
        <w:rPr>
          <w:rStyle w:val="VerbatimChar"/>
        </w:rPr>
        <w:t xml:space="preserve">policy_index.json</w:t>
      </w:r>
      <w:r>
        <w:t xml:space="preserve"> </w:t>
      </w:r>
      <w:r>
        <w:t xml:space="preserve">[2][3].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PNRR mission ledger:</w:t>
      </w:r>
      <w:r>
        <w:t xml:space="preserve"> </w:t>
      </w:r>
      <w:r>
        <w:t xml:space="preserve">Extract official</w:t>
      </w:r>
      <w:r>
        <w:t xml:space="preserve"> </w:t>
      </w:r>
      <w:r>
        <w:rPr>
          <w:b/>
          <w:bCs/>
        </w:rPr>
        <w:t xml:space="preserve">Missione 1 — Digitalizzazione</w:t>
      </w:r>
      <w:r>
        <w:t xml:space="preserve"> </w:t>
      </w:r>
      <w:r>
        <w:t xml:space="preserve">allocations by component/year into</w:t>
      </w:r>
      <w:r>
        <w:t xml:space="preserve"> </w:t>
      </w:r>
      <w:r>
        <w:rPr>
          <w:rStyle w:val="VerbatimChar"/>
        </w:rPr>
        <w:t xml:space="preserve">metric_catalog.csv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policy_index.json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SourceURL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LastChecked</w:t>
      </w:r>
      <w:r>
        <w:t xml:space="preserve"> </w:t>
      </w:r>
      <w:r>
        <w:t xml:space="preserve">[5].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Narrative tracker:</w:t>
      </w:r>
      <w:r>
        <w:t xml:space="preserve"> </w:t>
      </w:r>
      <w:r>
        <w:t xml:space="preserve">Record claims (</w:t>
      </w:r>
      <w:r>
        <w:t xml:space="preserve">“blanket bans”</w:t>
      </w:r>
      <w:r>
        <w:t xml:space="preserve">,</w:t>
      </w:r>
      <w:r>
        <w:t xml:space="preserve"> </w:t>
      </w:r>
      <w:r>
        <w:t xml:space="preserve">“BRI dependency”</w:t>
      </w:r>
      <w:r>
        <w:t xml:space="preserve">) as</w:t>
      </w:r>
      <w:r>
        <w:t xml:space="preserve"> </w:t>
      </w:r>
      <w:r>
        <w:rPr>
          <w:rStyle w:val="VerbatimChar"/>
        </w:rPr>
        <w:t xml:space="preserve">claim_id</w:t>
      </w:r>
      <w:r>
        <w:t xml:space="preserve">s in</w:t>
      </w:r>
      <w:r>
        <w:t xml:space="preserve"> </w:t>
      </w:r>
      <w:r>
        <w:rPr>
          <w:rStyle w:val="VerbatimChar"/>
        </w:rPr>
        <w:t xml:space="preserve">phase01_sub5_narratives.json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policy_reaction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fact_check_url[]</w:t>
      </w:r>
      <w:r>
        <w:t xml:space="preserve"> </w:t>
      </w:r>
      <w:r>
        <w:t xml:space="preserve">populated from [1][2][3][5].</w:t>
      </w:r>
    </w:p>
    <w:p>
      <w:r>
        <w:pict>
          <v:rect style="width:0;height:1.5pt" o:hralign="center" o:hrstd="t" o:hr="t"/>
        </w:pict>
      </w:r>
    </w:p>
    <w:bookmarkEnd w:id="25"/>
    <w:bookmarkStart w:id="26" w:name="endnotes"/>
    <w:p>
      <w:pPr>
        <w:pStyle w:val="Heading2"/>
      </w:pPr>
      <w:r>
        <w:t xml:space="preserve">Endnotes</w:t>
      </w:r>
    </w:p>
    <w:p>
      <w:pPr>
        <w:pStyle w:val="FirstParagraph"/>
      </w:pPr>
      <w:r>
        <w:t xml:space="preserve">[A1]</w:t>
      </w:r>
      <w:r>
        <w:t xml:space="preserve"> </w:t>
      </w:r>
      <w:r>
        <w:rPr>
          <w:b/>
          <w:bCs/>
        </w:rPr>
        <w:t xml:space="preserve">Phase‑01 artifact (Setup)</w:t>
      </w:r>
      <w:r>
        <w:t xml:space="preserve"> </w:t>
      </w:r>
      <w:r>
        <w:t xml:space="preserve">— regional/priority snapshot (internal reference).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CSIS —</w:t>
      </w:r>
      <w:r>
        <w:rPr>
          <w:b/>
          <w:bCs/>
        </w:rPr>
        <w:t xml:space="preserve"> </w:t>
      </w:r>
      <w:r>
        <w:rPr>
          <w:b/>
          <w:bCs/>
        </w:rPr>
        <w:t xml:space="preserve">“Italy Withdraws from China’s Belt and Road Initiative”</w:t>
      </w:r>
      <w:r>
        <w:rPr>
          <w:b/>
          <w:bCs/>
        </w:rPr>
        <w:t xml:space="preserve"> </w:t>
      </w:r>
      <w:r>
        <w:rPr>
          <w:b/>
          <w:bCs/>
        </w:rPr>
        <w:t xml:space="preserve">(2023‑12‑14).</w:t>
      </w:r>
      <w:r>
        <w:t xml:space="preserve"> </w:t>
      </w:r>
      <w:r>
        <w:t xml:space="preserve">https://www.csis.org/analysis/italy-withdraws-chinas-belt-and-road-initiative</w:t>
      </w:r>
      <w:r>
        <w:br/>
      </w:r>
      <w:r>
        <w:rPr>
          <w:i/>
          <w:iCs/>
        </w:rPr>
        <w:t xml:space="preserve">Accessed:</w:t>
      </w:r>
      <w:r>
        <w:t xml:space="preserve"> </w:t>
      </w:r>
      <w:r>
        <w:t xml:space="preserve">2025‑09‑13.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Normattiva — Law Decree n. 21/2012 (</w:t>
      </w:r>
      <w:r>
        <w:rPr>
          <w:b/>
          <w:bCs/>
        </w:rPr>
        <w:t xml:space="preserve">“Golden Power”</w:t>
      </w:r>
      <w:r>
        <w:rPr>
          <w:b/>
          <w:bCs/>
        </w:rPr>
        <w:t xml:space="preserve">), as amended; Art. 28 (5G/cloud special powers).</w:t>
      </w:r>
      <w:r>
        <w:t xml:space="preserve"> </w:t>
      </w:r>
      <w:r>
        <w:t xml:space="preserve">https://www.normattiva.it/uri-res/N2Ls?urn:nir:stato:decreto.legge:2012-03-15;21</w:t>
      </w:r>
      <w:r>
        <w:br/>
      </w:r>
      <w:r>
        <w:rPr>
          <w:i/>
          <w:iCs/>
        </w:rPr>
        <w:t xml:space="preserve">Accessed:</w:t>
      </w:r>
      <w:r>
        <w:t xml:space="preserve"> </w:t>
      </w:r>
      <w:r>
        <w:t xml:space="preserve">2025‑09‑13.</w:t>
      </w:r>
      <w:r>
        <w:br/>
      </w:r>
      <w:r>
        <w:rPr>
          <w:b/>
          <w:bCs/>
        </w:rPr>
        <w:t xml:space="preserve">Gazzetta Ufficiale — DL 21/2022 text (for Art. 28).</w:t>
      </w:r>
      <w:r>
        <w:t xml:space="preserve"> </w:t>
      </w:r>
      <w:r>
        <w:t xml:space="preserve">https://www.gazzettaufficiale.it/eli/id/2022/03/21/22G00032/sg</w:t>
      </w:r>
      <w:r>
        <w:br/>
      </w:r>
      <w:r>
        <w:rPr>
          <w:i/>
          <w:iCs/>
        </w:rPr>
        <w:t xml:space="preserve">Accessed:</w:t>
      </w:r>
      <w:r>
        <w:t xml:space="preserve"> </w:t>
      </w:r>
      <w:r>
        <w:t xml:space="preserve">2025‑09‑13.</w:t>
      </w:r>
      <w:r>
        <w:br/>
      </w:r>
      <w:r>
        <w:rPr>
          <w:b/>
          <w:bCs/>
        </w:rPr>
        <w:t xml:space="preserve">UNCTAD — Investment Policy Monitor (amendments capture intragroup ops in critical tech).</w:t>
      </w:r>
      <w:r>
        <w:t xml:space="preserve"> </w:t>
      </w:r>
      <w:r>
        <w:t xml:space="preserve">https://investmentpolicy.unctad.org/investment-policy-monitor/measures/4503/italy-amends-golden-power-legislation-to-include-certain-intragroup-operations-with-assets-crucial-for-critical-technologies</w:t>
      </w:r>
      <w:r>
        <w:br/>
      </w:r>
      <w:r>
        <w:rPr>
          <w:i/>
          <w:iCs/>
        </w:rPr>
        <w:t xml:space="preserve">Accessed:</w:t>
      </w:r>
      <w:r>
        <w:t xml:space="preserve"> </w:t>
      </w:r>
      <w:r>
        <w:t xml:space="preserve">2025‑09‑13.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Gazzetta Ufficiale — DPCM 18‑09‑2020 n.131 (National Cybersecurity Perimeter).</w:t>
      </w:r>
      <w:r>
        <w:t xml:space="preserve"> </w:t>
      </w:r>
      <w:r>
        <w:t xml:space="preserve">https://www.gazzettaufficiale.it/eli/id/2020/10/21/20G00150/sg</w:t>
      </w:r>
      <w:r>
        <w:br/>
      </w:r>
      <w:r>
        <w:rPr>
          <w:i/>
          <w:iCs/>
        </w:rPr>
        <w:t xml:space="preserve">Accessed:</w:t>
      </w:r>
      <w:r>
        <w:t xml:space="preserve"> </w:t>
      </w:r>
      <w:r>
        <w:t xml:space="preserve">2025‑09‑13.</w:t>
      </w:r>
      <w:r>
        <w:br/>
      </w:r>
      <w:r>
        <w:rPr>
          <w:b/>
          <w:bCs/>
        </w:rPr>
        <w:t xml:space="preserve">Normattiva consolidated link.</w:t>
      </w:r>
      <w:r>
        <w:t xml:space="preserve"> </w:t>
      </w:r>
      <w:r>
        <w:t xml:space="preserve">https://www.normattiva.it/uri-res/N2Ls?urn:nir:stato:decreto.presidente.consiglio.ministri:2020-09-18;131</w:t>
      </w:r>
      <w:r>
        <w:br/>
      </w:r>
      <w:r>
        <w:rPr>
          <w:i/>
          <w:iCs/>
        </w:rPr>
        <w:t xml:space="preserve">Accessed:</w:t>
      </w:r>
      <w:r>
        <w:t xml:space="preserve"> </w:t>
      </w:r>
      <w:r>
        <w:t xml:space="preserve">2025‑09‑13.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NATO — Defence Expenditure of NATO Countries (official landing for latest tables).</w:t>
      </w:r>
      <w:r>
        <w:t xml:space="preserve"> </w:t>
      </w:r>
      <w:r>
        <w:t xml:space="preserve">https://www.nato.int/cps/en/natohq/topics_49198.htm</w:t>
      </w:r>
      <w:r>
        <w:br/>
      </w:r>
      <w:r>
        <w:rPr>
          <w:i/>
          <w:iCs/>
        </w:rPr>
        <w:t xml:space="preserve">Accessed:</w:t>
      </w:r>
      <w:r>
        <w:t xml:space="preserve"> </w:t>
      </w:r>
      <w:r>
        <w:t xml:space="preserve">2025‑09‑13.</w:t>
      </w:r>
      <w:r>
        <w:t xml:space="preserve"> </w:t>
      </w:r>
      <w:r>
        <w:rPr>
          <w:i/>
          <w:iCs/>
        </w:rPr>
        <w:t xml:space="preserve">(Note: insert the exact PDF permalink for the current year during Phase‑11 QC once published.)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Italia Domani — PNRR Missione 1 (Digitalizzazione e Innovazione) page.</w:t>
      </w:r>
      <w:r>
        <w:t xml:space="preserve"> </w:t>
      </w:r>
      <w:r>
        <w:t xml:space="preserve">https://www.italiadomani.gov.it/it/il-piano/missioni-pnrr/digitalizzazione-e-innovazione.html</w:t>
      </w:r>
      <w:r>
        <w:br/>
      </w:r>
      <w:r>
        <w:rPr>
          <w:i/>
          <w:iCs/>
        </w:rPr>
        <w:t xml:space="preserve">Accessed:</w:t>
      </w:r>
      <w:r>
        <w:t xml:space="preserve"> </w:t>
      </w:r>
      <w:r>
        <w:t xml:space="preserve">2025‑09‑13.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2025-09-14T12:41:20Z</dcterms:created>
  <dcterms:modified xsi:type="dcterms:W3CDTF">2025-09-14T12:41:20Z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