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E3DCE" w14:textId="77777777" w:rsidR="00787851" w:rsidRDefault="00000000">
      <w:pPr>
        <w:pStyle w:val="Heading1"/>
      </w:pPr>
      <w:bookmarkStart w:id="0" w:name="how-to-use-this-pack"/>
      <w:r>
        <w:t>How to use this pack</w:t>
      </w:r>
    </w:p>
    <w:p w14:paraId="48D5C44E" w14:textId="77777777" w:rsidR="00787851" w:rsidRDefault="00000000">
      <w:pPr>
        <w:pStyle w:val="FirstParagraph"/>
      </w:pPr>
      <w:r>
        <w:t xml:space="preserve">Run </w:t>
      </w:r>
      <w:r>
        <w:rPr>
          <w:b/>
          <w:bCs/>
        </w:rPr>
        <w:t>one micro‑prompt at a time</w:t>
      </w:r>
      <w:r>
        <w:t xml:space="preserve">, in order. Each step returns a complete, human‑readable report section </w:t>
      </w:r>
      <w:r>
        <w:rPr>
          <w:b/>
          <w:bCs/>
        </w:rPr>
        <w:t>plus</w:t>
      </w:r>
      <w:r>
        <w:t xml:space="preserve"> any spreadsheet tables twice: (1) Markdown table and (2) a fenced </w:t>
      </w:r>
      <w:r>
        <w:rPr>
          <w:rStyle w:val="VerbatimChar"/>
        </w:rPr>
        <w:t># excel-tsv</w:t>
      </w:r>
      <w:r>
        <w:t xml:space="preserve"> block for copy/paste into TSV files. Low‑cadence narrative (policy/portals/legal) is designed to be refreshed quarterly/annually.</w:t>
      </w:r>
    </w:p>
    <w:p w14:paraId="4BD8AE37" w14:textId="77777777" w:rsidR="00787851" w:rsidRDefault="00000000">
      <w:r>
        <w:pict w14:anchorId="04A64DCC">
          <v:rect id="_x0000_i1025" style="width:0;height:1.5pt" o:hralign="center" o:hrstd="t" o:hr="t"/>
        </w:pict>
      </w:r>
    </w:p>
    <w:p w14:paraId="52A05191" w14:textId="77777777" w:rsidR="00787851" w:rsidRDefault="00000000">
      <w:pPr>
        <w:pStyle w:val="Heading2"/>
      </w:pPr>
      <w:bookmarkStart w:id="1" w:name="Xe2b838c1edd6186a730b25403f1ecd8f4aec76e"/>
      <w:r>
        <w:t>Global (once per country) — SESSION header &amp; conventions</w:t>
      </w:r>
    </w:p>
    <w:p w14:paraId="6B65FC7E" w14:textId="77777777" w:rsidR="00787851" w:rsidRDefault="00000000">
      <w:pPr>
        <w:pStyle w:val="FirstParagraph"/>
      </w:pPr>
      <w:r>
        <w:rPr>
          <w:b/>
          <w:bCs/>
        </w:rPr>
        <w:t>You say to ChatGPT:</w:t>
      </w:r>
    </w:p>
    <w:p w14:paraId="42945F4A" w14:textId="77777777" w:rsidR="00787851" w:rsidRDefault="00000000">
      <w:pPr>
        <w:pStyle w:val="SourceCode"/>
      </w:pPr>
      <w:r>
        <w:rPr>
          <w:rStyle w:val="VerbatimChar"/>
        </w:rPr>
        <w:t>SESSION_HEADER for &lt;COUNTRY NAME&gt; (&lt;ISO2&gt;)</w:t>
      </w:r>
      <w:r>
        <w:br/>
      </w:r>
      <w:r>
        <w:rPr>
          <w:rStyle w:val="VerbatimChar"/>
        </w:rPr>
        <w:t>- timeframe: 2015–present</w:t>
      </w:r>
      <w:r>
        <w:br/>
      </w:r>
      <w:r>
        <w:rPr>
          <w:rStyle w:val="VerbatimChar"/>
        </w:rPr>
        <w:t>- languages: ["en", "&lt;local&gt;"]</w:t>
      </w:r>
      <w:r>
        <w:br/>
      </w:r>
      <w:r>
        <w:rPr>
          <w:rStyle w:val="VerbatimChar"/>
        </w:rPr>
        <w:t>- toggles:</w:t>
      </w:r>
      <w:r>
        <w:br/>
      </w:r>
      <w:r>
        <w:rPr>
          <w:rStyle w:val="VerbatimChar"/>
        </w:rPr>
        <w:t xml:space="preserve">    include_export_controls: true</w:t>
      </w:r>
      <w:r>
        <w:br/>
      </w:r>
      <w:r>
        <w:rPr>
          <w:rStyle w:val="VerbatimChar"/>
        </w:rPr>
        <w:t xml:space="preserve">    include_us_natsec_8cats: true</w:t>
      </w:r>
      <w:r>
        <w:br/>
      </w:r>
      <w:r>
        <w:rPr>
          <w:rStyle w:val="VerbatimChar"/>
        </w:rPr>
        <w:t xml:space="preserve">    include_energy_tech: false</w:t>
      </w:r>
      <w:r>
        <w:br/>
      </w:r>
      <w:r>
        <w:rPr>
          <w:rStyle w:val="VerbatimChar"/>
        </w:rPr>
        <w:t xml:space="preserve">    deep_research_precedence: true</w:t>
      </w:r>
      <w:r>
        <w:br/>
      </w:r>
      <w:r>
        <w:rPr>
          <w:rStyle w:val="VerbatimChar"/>
        </w:rPr>
        <w:t xml:space="preserve">    wikipedia_citation: off</w:t>
      </w:r>
      <w:r>
        <w:br/>
      </w:r>
      <w:r>
        <w:rPr>
          <w:rStyle w:val="VerbatimChar"/>
        </w:rPr>
        <w:t>- watchdog_guardrails: independence, reproducibility, proportionality, privacy/ethics, non-advocacy</w:t>
      </w:r>
      <w:r>
        <w:br/>
      </w:r>
      <w:r>
        <w:rPr>
          <w:rStyle w:val="VerbatimChar"/>
        </w:rPr>
        <w:t>- excel_ready_mode: output every table twice (markdown + fenced block labeled `# excel-tsv`)</w:t>
      </w:r>
      <w:r>
        <w:br/>
      </w:r>
      <w:r>
        <w:rPr>
          <w:rStyle w:val="VerbatimChar"/>
        </w:rPr>
        <w:t>- evidence_policy: open-source only; cite URLs; log access dates</w:t>
      </w:r>
      <w:r>
        <w:br/>
      </w:r>
      <w:r>
        <w:rPr>
          <w:rStyle w:val="VerbatimChar"/>
        </w:rPr>
        <w:t>- happy_path: pull → normalize → build; panic_buttons: write empty-but-valid tables if a source is missing</w:t>
      </w:r>
    </w:p>
    <w:p w14:paraId="51187AEA" w14:textId="77777777" w:rsidR="00787851" w:rsidRDefault="00000000">
      <w:r>
        <w:pict w14:anchorId="7B032FAC">
          <v:rect id="_x0000_i1026" style="width:0;height:1.5pt" o:hralign="center" o:hrstd="t" o:hr="t"/>
        </w:pict>
      </w:r>
    </w:p>
    <w:p w14:paraId="33304577" w14:textId="77777777" w:rsidR="00787851" w:rsidRDefault="00000000">
      <w:pPr>
        <w:pStyle w:val="Heading1"/>
      </w:pPr>
      <w:bookmarkStart w:id="2" w:name="X3844269c9a43db1686155fe3fbcc7647773a13d"/>
      <w:bookmarkEnd w:id="0"/>
      <w:bookmarkEnd w:id="1"/>
      <w:r>
        <w:t>Phase X — Definitions &amp; Taxonomy (insert once before Phase 1)</w:t>
      </w:r>
    </w:p>
    <w:p w14:paraId="5DE5B3A1" w14:textId="77777777" w:rsidR="00787851" w:rsidRDefault="00000000">
      <w:pPr>
        <w:pStyle w:val="FirstParagraph"/>
      </w:pPr>
      <w:r>
        <w:rPr>
          <w:b/>
          <w:bCs/>
        </w:rPr>
        <w:t>Canvas (file):</w:t>
      </w:r>
      <w:r>
        <w:t xml:space="preserve"> </w:t>
      </w:r>
      <w:r>
        <w:rPr>
          <w:rStyle w:val="VerbatimChar"/>
        </w:rPr>
        <w:t>Write &lt;COUNTRY&gt; Phase X — Definitions &amp; Taxonomy (reports/country=&lt;ISO2&gt;/phase-x_taxonomy.md)</w:t>
      </w:r>
    </w:p>
    <w:p w14:paraId="502919AE" w14:textId="77777777" w:rsidR="00787851" w:rsidRDefault="00000000">
      <w:pPr>
        <w:pStyle w:val="BodyText"/>
      </w:pPr>
      <w:r>
        <w:rPr>
          <w:b/>
          <w:bCs/>
        </w:rPr>
        <w:t>Do:</w:t>
      </w:r>
      <w:r>
        <w:t xml:space="preserve"> - Glossary of key dual‑use terms; sector taxonomy (6–10 clusters → subdomains) with 1–2 example technologies each. - Competitiveness criteria &amp; bands (Global Leader/Challenger/Regional Leader/Competitive); simple rubric. - If 8‑Cats toggle ON, map sectors to US NatSec 8 categories. - Output: short glossary table + ASCII taxonomy + criteria list. (Low cadence; refresh annually.)</w:t>
      </w:r>
    </w:p>
    <w:p w14:paraId="53CAFB28" w14:textId="77777777" w:rsidR="00787851" w:rsidRDefault="00000000">
      <w:r>
        <w:pict w14:anchorId="4448CBE6">
          <v:rect id="_x0000_i1027" style="width:0;height:1.5pt" o:hralign="center" o:hrstd="t" o:hr="t"/>
        </w:pict>
      </w:r>
    </w:p>
    <w:p w14:paraId="2D120A4B" w14:textId="77777777" w:rsidR="00787851" w:rsidRDefault="00000000">
      <w:pPr>
        <w:pStyle w:val="Heading1"/>
      </w:pPr>
      <w:bookmarkStart w:id="3" w:name="phase-0-setup-watchdogthink-tank"/>
      <w:bookmarkEnd w:id="2"/>
      <w:r>
        <w:lastRenderedPageBreak/>
        <w:t>Phase 0 — Setup (watchdog/think tank)</w:t>
      </w:r>
    </w:p>
    <w:p w14:paraId="2821B424" w14:textId="77777777" w:rsidR="00787851" w:rsidRDefault="00000000">
      <w:pPr>
        <w:pStyle w:val="FirstParagraph"/>
      </w:pPr>
      <w:r>
        <w:rPr>
          <w:b/>
          <w:bCs/>
        </w:rPr>
        <w:t>Canvas (file):</w:t>
      </w:r>
      <w:r>
        <w:t xml:space="preserve"> </w:t>
      </w:r>
      <w:r>
        <w:rPr>
          <w:rStyle w:val="VerbatimChar"/>
        </w:rPr>
        <w:t>Write &lt;COUNTRY&gt; Phase 0 — Setup (reports/country=&lt;ISO2&gt;/phase-0_setup.md)</w:t>
      </w:r>
    </w:p>
    <w:p w14:paraId="30089B33" w14:textId="77777777" w:rsidR="00787851" w:rsidRDefault="00000000">
      <w:pPr>
        <w:pStyle w:val="Heading2"/>
      </w:pPr>
      <w:bookmarkStart w:id="4" w:name="p0-a-setup-guardrails"/>
      <w:r>
        <w:t>P0-A — Setup &amp; guardrails</w:t>
      </w:r>
    </w:p>
    <w:p w14:paraId="5536D05D" w14:textId="77777777" w:rsidR="00787851" w:rsidRDefault="00000000">
      <w:pPr>
        <w:pStyle w:val="Compact"/>
        <w:numPr>
          <w:ilvl w:val="0"/>
          <w:numId w:val="2"/>
        </w:numPr>
      </w:pPr>
      <w:r>
        <w:t>Print SESSION header &amp; guardrails; Proxy Toolkit mini (tiers, confidence_0to1, red‑team checks).</w:t>
      </w:r>
    </w:p>
    <w:p w14:paraId="32E45BA6" w14:textId="77777777" w:rsidR="00787851" w:rsidRDefault="00000000">
      <w:pPr>
        <w:pStyle w:val="Compact"/>
        <w:numPr>
          <w:ilvl w:val="0"/>
          <w:numId w:val="2"/>
        </w:numPr>
      </w:pPr>
      <w:r>
        <w:t>Add Happy Path and Panic Buttons.</w:t>
      </w:r>
    </w:p>
    <w:p w14:paraId="7D9CBD4D" w14:textId="77777777" w:rsidR="00787851" w:rsidRDefault="00000000">
      <w:pPr>
        <w:pStyle w:val="Heading2"/>
      </w:pPr>
      <w:bookmarkStart w:id="5" w:name="p0-b-references-watchlist-low-cadence"/>
      <w:bookmarkEnd w:id="4"/>
      <w:r>
        <w:t>P0-B — References &amp; watchlist (low cadence)</w:t>
      </w:r>
    </w:p>
    <w:p w14:paraId="0117368D" w14:textId="77777777" w:rsidR="00787851" w:rsidRDefault="00000000">
      <w:pPr>
        <w:pStyle w:val="Compact"/>
        <w:numPr>
          <w:ilvl w:val="0"/>
          <w:numId w:val="3"/>
        </w:numPr>
      </w:pPr>
      <w:r>
        <w:t>Portals list (gov/regulators; funding/programs; standards/accreditation; research/statistics/IP; trade/logistics/registries; EU/international).</w:t>
      </w:r>
    </w:p>
    <w:p w14:paraId="72947132" w14:textId="77777777" w:rsidR="00787851" w:rsidRDefault="00000000">
      <w:pPr>
        <w:pStyle w:val="Compact"/>
        <w:numPr>
          <w:ilvl w:val="0"/>
          <w:numId w:val="3"/>
        </w:numPr>
      </w:pPr>
      <w:r>
        <w:t xml:space="preserve">Add 6–8 watchlist YAML lines: </w:t>
      </w:r>
      <w:r>
        <w:rPr>
          <w:rStyle w:val="VerbatimChar"/>
        </w:rPr>
        <w:t>name, url, cadence</w:t>
      </w:r>
      <w:r>
        <w:t xml:space="preserve"> (weekly/monthly/quarterly).</w:t>
      </w:r>
    </w:p>
    <w:p w14:paraId="43C79149" w14:textId="77777777" w:rsidR="00787851" w:rsidRDefault="00000000">
      <w:pPr>
        <w:pStyle w:val="Heading2"/>
      </w:pPr>
      <w:bookmarkStart w:id="6" w:name="p0-c-evidence-discipline-audit-protocol"/>
      <w:bookmarkEnd w:id="5"/>
      <w:r>
        <w:t>P0-C — Evidence discipline &amp; audit protocol</w:t>
      </w:r>
    </w:p>
    <w:p w14:paraId="5A1D8824" w14:textId="77777777" w:rsidR="00787851" w:rsidRDefault="00000000">
      <w:pPr>
        <w:pStyle w:val="Compact"/>
        <w:numPr>
          <w:ilvl w:val="0"/>
          <w:numId w:val="4"/>
        </w:numPr>
      </w:pPr>
      <w:r>
        <w:t xml:space="preserve">Evidence Register fields; </w:t>
      </w:r>
      <w:r w:rsidRPr="00D15AAD">
        <w:rPr>
          <w:highlight w:val="yellow"/>
        </w:rPr>
        <w:t>screenshot/</w:t>
      </w:r>
      <w:r>
        <w:t>versioning rules; audit protocol (target Cohen’s κ ≥ 0.7; re‑verify stale &gt; 36 months).</w:t>
      </w:r>
    </w:p>
    <w:p w14:paraId="39FCB920" w14:textId="77777777" w:rsidR="00787851" w:rsidRDefault="00000000">
      <w:r>
        <w:pict w14:anchorId="37C31E7B">
          <v:rect id="_x0000_i1028" style="width:0;height:1.5pt" o:hralign="center" o:hrstd="t" o:hr="t"/>
        </w:pict>
      </w:r>
    </w:p>
    <w:p w14:paraId="2F56D79E" w14:textId="77777777" w:rsidR="00787851" w:rsidRDefault="00000000">
      <w:pPr>
        <w:pStyle w:val="Heading1"/>
      </w:pPr>
      <w:bookmarkStart w:id="7" w:name="Xea6ad5bbc58fb801f86d9ff743687ee2e795882"/>
      <w:bookmarkEnd w:id="3"/>
      <w:bookmarkEnd w:id="6"/>
      <w:r>
        <w:t>Phase 1 — Indicators &amp; Data Sources (compact baseline)</w:t>
      </w:r>
    </w:p>
    <w:p w14:paraId="319A9DD1" w14:textId="77777777" w:rsidR="00787851" w:rsidRDefault="00000000">
      <w:pPr>
        <w:pStyle w:val="FirstParagraph"/>
      </w:pPr>
      <w:r>
        <w:rPr>
          <w:b/>
          <w:bCs/>
        </w:rPr>
        <w:t>Canvas (file):</w:t>
      </w:r>
      <w:r>
        <w:t xml:space="preserve"> </w:t>
      </w:r>
      <w:r>
        <w:rPr>
          <w:rStyle w:val="VerbatimChar"/>
        </w:rPr>
        <w:t>Write &lt;COUNTRY&gt; Phase 1 — Indicators &amp; Data Sources (reports/country=&lt;ISO2&gt;/phase-1_indicators.md)</w:t>
      </w:r>
    </w:p>
    <w:p w14:paraId="13A53777" w14:textId="77777777" w:rsidR="00787851" w:rsidRDefault="00000000">
      <w:pPr>
        <w:pStyle w:val="Heading2"/>
      </w:pPr>
      <w:bookmarkStart w:id="8" w:name="p1-a-indicators-cn-addins"/>
      <w:r>
        <w:t>P1-A — Indicators + CN add‑ins</w:t>
      </w:r>
    </w:p>
    <w:p w14:paraId="444D9038" w14:textId="77777777" w:rsidR="00787851" w:rsidRDefault="00000000">
      <w:pPr>
        <w:pStyle w:val="Compact"/>
        <w:numPr>
          <w:ilvl w:val="0"/>
          <w:numId w:val="5"/>
        </w:numPr>
      </w:pPr>
      <w:r>
        <w:t>List compact indicators: CORDIS P1/P2/€1 (H2020 &amp; HE separate), ERC/MSCA, HPC peak/sustained, standards roles, patents, trade/FDI.</w:t>
      </w:r>
    </w:p>
    <w:p w14:paraId="6EA292D3" w14:textId="77777777" w:rsidR="00787851" w:rsidRDefault="00000000">
      <w:pPr>
        <w:pStyle w:val="Compact"/>
        <w:numPr>
          <w:ilvl w:val="0"/>
          <w:numId w:val="5"/>
        </w:numPr>
      </w:pPr>
      <w:r>
        <w:t>CN add‑ins: PRC co‑authorship rate; CORDIS P1/P2 with PRC; joint patents; standards co‑leadership.</w:t>
      </w:r>
    </w:p>
    <w:p w14:paraId="6DE7AABA" w14:textId="77777777" w:rsidR="00787851" w:rsidRDefault="00000000">
      <w:pPr>
        <w:pStyle w:val="Compact"/>
        <w:numPr>
          <w:ilvl w:val="0"/>
          <w:numId w:val="5"/>
        </w:numPr>
      </w:pPr>
      <w:r>
        <w:t>Output two TSV blocks:</w:t>
      </w:r>
    </w:p>
    <w:p w14:paraId="6B8D87FF" w14:textId="77777777" w:rsidR="0078785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# excel-tsv: Indicators.tsv</w:t>
      </w:r>
    </w:p>
    <w:p w14:paraId="2FA7272A" w14:textId="77777777" w:rsidR="0078785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# excel-tsv: Non-Conforming.tsv</w:t>
      </w:r>
      <w:r>
        <w:t xml:space="preserve"> (contradictions log)</w:t>
      </w:r>
    </w:p>
    <w:p w14:paraId="3A9654E5" w14:textId="77777777" w:rsidR="00787851" w:rsidRDefault="00000000">
      <w:pPr>
        <w:pStyle w:val="Compact"/>
        <w:numPr>
          <w:ilvl w:val="0"/>
          <w:numId w:val="5"/>
        </w:numPr>
      </w:pPr>
      <w:r>
        <w:t>Finish with 3–5 plain‑language takeaways.</w:t>
      </w:r>
    </w:p>
    <w:p w14:paraId="3443987A" w14:textId="77777777" w:rsidR="00787851" w:rsidRDefault="00000000">
      <w:pPr>
        <w:pStyle w:val="Heading2"/>
      </w:pPr>
      <w:bookmarkStart w:id="9" w:name="p1-b-multilingual-plan-proxy-log"/>
      <w:bookmarkEnd w:id="8"/>
      <w:r>
        <w:t>P1-B — Multilingual plan &amp; proxy log</w:t>
      </w:r>
    </w:p>
    <w:p w14:paraId="203D5E82" w14:textId="77777777" w:rsidR="00787851" w:rsidRDefault="00000000">
      <w:pPr>
        <w:pStyle w:val="Compact"/>
        <w:numPr>
          <w:ilvl w:val="0"/>
          <w:numId w:val="7"/>
        </w:numPr>
      </w:pPr>
      <w:r>
        <w:t xml:space="preserve">EN + local + ZH search plan; keep H2020 vs HE separate; add Proxy Log TSV with </w:t>
      </w:r>
      <w:r>
        <w:rPr>
          <w:rStyle w:val="VerbatimChar"/>
        </w:rPr>
        <w:t>confidence_0to1</w:t>
      </w:r>
      <w:r>
        <w:t>.</w:t>
      </w:r>
    </w:p>
    <w:p w14:paraId="6D5F6110" w14:textId="77777777" w:rsidR="00787851" w:rsidRDefault="00000000">
      <w:pPr>
        <w:pStyle w:val="FirstParagraph"/>
      </w:pPr>
      <w:r>
        <w:rPr>
          <w:b/>
          <w:bCs/>
        </w:rPr>
        <w:t>Where data helps (free):</w:t>
      </w:r>
      <w:r>
        <w:t xml:space="preserve"> CORDIS/Results &amp; Dashboard; EuroHPC; ETSI/ISO/IEC/OGC; WIPO/EPO; Eurostat; national stats.</w:t>
      </w:r>
    </w:p>
    <w:p w14:paraId="7F1B99B8" w14:textId="77777777" w:rsidR="00787851" w:rsidRDefault="00000000">
      <w:r>
        <w:lastRenderedPageBreak/>
        <w:pict w14:anchorId="53752C0D">
          <v:rect id="_x0000_i1029" style="width:0;height:1.5pt" o:hralign="center" o:hrstd="t" o:hr="t"/>
        </w:pict>
      </w:r>
    </w:p>
    <w:p w14:paraId="60E5323C" w14:textId="77777777" w:rsidR="00787851" w:rsidRDefault="00000000">
      <w:pPr>
        <w:pStyle w:val="Heading1"/>
      </w:pPr>
      <w:bookmarkStart w:id="10" w:name="phase-2-technology-landscape-maturity"/>
      <w:bookmarkEnd w:id="7"/>
      <w:bookmarkEnd w:id="9"/>
      <w:r>
        <w:t>Phase 2 — Technology Landscape &amp; Maturity</w:t>
      </w:r>
    </w:p>
    <w:p w14:paraId="53C51484" w14:textId="77777777" w:rsidR="00787851" w:rsidRDefault="00000000">
      <w:pPr>
        <w:pStyle w:val="FirstParagraph"/>
      </w:pPr>
      <w:r>
        <w:rPr>
          <w:b/>
          <w:bCs/>
        </w:rPr>
        <w:t>Canvas (file):</w:t>
      </w:r>
      <w:r>
        <w:t xml:space="preserve"> </w:t>
      </w:r>
      <w:r>
        <w:rPr>
          <w:rStyle w:val="VerbatimChar"/>
        </w:rPr>
        <w:t>Write &lt;COUNTRY&gt; Phase 2 — Technology Landscape (reports/country=&lt;ISO2&gt;/phase-2_landscape.md)</w:t>
      </w:r>
    </w:p>
    <w:p w14:paraId="4AB0FB4C" w14:textId="77777777" w:rsidR="00787851" w:rsidRDefault="00000000">
      <w:pPr>
        <w:pStyle w:val="Heading2"/>
      </w:pPr>
      <w:bookmarkStart w:id="11" w:name="p2-a-persector-capture-6-sectors"/>
      <w:r>
        <w:t>P2-A — Per‑sector capture (≤6 sectors)</w:t>
      </w:r>
    </w:p>
    <w:p w14:paraId="02A5694E" w14:textId="77777777" w:rsidR="00787851" w:rsidRDefault="00000000">
      <w:pPr>
        <w:pStyle w:val="FirstParagraph"/>
      </w:pPr>
      <w:r>
        <w:t xml:space="preserve">For each sector: definition; maturity (Strong/Emerging/Nascent) with evidence; capabilities (labs/testbeds/compute/datasets/standards roles); ≤3 examples; export hooks; </w:t>
      </w:r>
      <w:r>
        <w:rPr>
          <w:b/>
          <w:bCs/>
        </w:rPr>
        <w:t>show top‑3 matched keywords</w:t>
      </w:r>
      <w:r>
        <w:t xml:space="preserve"> used for retrieval transparency. - Output TSV: </w:t>
      </w:r>
      <w:r>
        <w:rPr>
          <w:rStyle w:val="VerbatimChar"/>
        </w:rPr>
        <w:t>SectorLandscape.tsv</w:t>
      </w:r>
    </w:p>
    <w:p w14:paraId="1EC58EE2" w14:textId="77777777" w:rsidR="00787851" w:rsidRDefault="00000000">
      <w:pPr>
        <w:pStyle w:val="Heading2"/>
      </w:pPr>
      <w:bookmarkStart w:id="12" w:name="p2-b-prc-addins-qa-proxies"/>
      <w:bookmarkEnd w:id="11"/>
      <w:r>
        <w:t>P2-B — PRC add‑ins + QA + proxies</w:t>
      </w:r>
    </w:p>
    <w:p w14:paraId="1C073AC4" w14:textId="77777777" w:rsidR="00787851" w:rsidRDefault="00000000">
      <w:pPr>
        <w:pStyle w:val="Compact"/>
        <w:numPr>
          <w:ilvl w:val="0"/>
          <w:numId w:val="8"/>
        </w:numPr>
      </w:pPr>
      <w:r>
        <w:t>PRC policy alignment (title/date/issuer/key line); standards posture (WGs where PRC co‑leads vs local co‑chairs). If claiming MCF relevance, link to annex/ECCN or mark “unclear”.</w:t>
      </w:r>
    </w:p>
    <w:p w14:paraId="5C662055" w14:textId="77777777" w:rsidR="00787851" w:rsidRDefault="00000000">
      <w:pPr>
        <w:pStyle w:val="Compact"/>
        <w:numPr>
          <w:ilvl w:val="0"/>
          <w:numId w:val="8"/>
        </w:numPr>
      </w:pPr>
      <w:r>
        <w:t xml:space="preserve">Add Non‑Conforming Signals TSV and Proxy Log (lab CAGR, effective HPC ratio, specialist kit). Apply </w:t>
      </w:r>
      <w:r>
        <w:rPr>
          <w:b/>
          <w:bCs/>
        </w:rPr>
        <w:t>recency weighting</w:t>
      </w:r>
      <w:r>
        <w:t>.</w:t>
      </w:r>
    </w:p>
    <w:p w14:paraId="54F34062" w14:textId="77777777" w:rsidR="00787851" w:rsidRDefault="00000000">
      <w:pPr>
        <w:pStyle w:val="Heading2"/>
      </w:pPr>
      <w:bookmarkStart w:id="13" w:name="p2-c-lay-summary-consortium-skew"/>
      <w:bookmarkEnd w:id="12"/>
      <w:r>
        <w:t>P2-C — Lay summary &amp; consortium skew</w:t>
      </w:r>
    </w:p>
    <w:p w14:paraId="12F9D1D6" w14:textId="77777777" w:rsidR="00787851" w:rsidRDefault="00000000">
      <w:pPr>
        <w:pStyle w:val="Compact"/>
        <w:numPr>
          <w:ilvl w:val="0"/>
          <w:numId w:val="9"/>
        </w:numPr>
      </w:pPr>
      <w:r>
        <w:t xml:space="preserve">3–5 bullets per top sector; momentum/event spikes; caution if </w:t>
      </w:r>
      <w:r>
        <w:rPr>
          <w:rStyle w:val="VerbatimChar"/>
        </w:rPr>
        <w:t>top1_share &gt; 0.5</w:t>
      </w:r>
      <w:r>
        <w:t>.</w:t>
      </w:r>
    </w:p>
    <w:p w14:paraId="14F3B73E" w14:textId="77777777" w:rsidR="00787851" w:rsidRDefault="00000000">
      <w:pPr>
        <w:pStyle w:val="FirstParagraph"/>
      </w:pPr>
      <w:r>
        <w:rPr>
          <w:b/>
          <w:bCs/>
        </w:rPr>
        <w:t>Where data helps (free):</w:t>
      </w:r>
      <w:r>
        <w:t xml:space="preserve"> facility/testbed pages, SDO rosters, accreditation registries.</w:t>
      </w:r>
    </w:p>
    <w:p w14:paraId="64C97759" w14:textId="77777777" w:rsidR="00787851" w:rsidRDefault="00000000">
      <w:r>
        <w:pict w14:anchorId="5127C09E">
          <v:rect id="_x0000_i1030" style="width:0;height:1.5pt" o:hralign="center" o:hrstd="t" o:hr="t"/>
        </w:pict>
      </w:r>
    </w:p>
    <w:p w14:paraId="1FF48985" w14:textId="77777777" w:rsidR="00787851" w:rsidRDefault="00000000">
      <w:pPr>
        <w:pStyle w:val="Heading1"/>
      </w:pPr>
      <w:bookmarkStart w:id="14" w:name="X9643f59df59bd08d557ab368986a16996eaac0e"/>
      <w:bookmarkEnd w:id="10"/>
      <w:bookmarkEnd w:id="13"/>
      <w:r>
        <w:t>Phase 2S — Supply Chain Security (five‑pillar lens + legal overlay)</w:t>
      </w:r>
    </w:p>
    <w:p w14:paraId="034C7449" w14:textId="77777777" w:rsidR="00787851" w:rsidRDefault="00000000">
      <w:pPr>
        <w:pStyle w:val="FirstParagraph"/>
      </w:pPr>
      <w:r>
        <w:rPr>
          <w:b/>
          <w:bCs/>
        </w:rPr>
        <w:t>Canvas (file):</w:t>
      </w:r>
      <w:r>
        <w:t xml:space="preserve"> </w:t>
      </w:r>
      <w:r>
        <w:rPr>
          <w:rStyle w:val="VerbatimChar"/>
        </w:rPr>
        <w:t>Write &lt;COUNTRY&gt; Phase 2S — Supply Chain Security (reports/country=&lt;ISO2&gt;/phase-2s_supply_chain.md)</w:t>
      </w:r>
    </w:p>
    <w:p w14:paraId="2715B424" w14:textId="77777777" w:rsidR="00787851" w:rsidRDefault="00000000">
      <w:pPr>
        <w:pStyle w:val="Heading2"/>
      </w:pPr>
      <w:bookmarkStart w:id="15" w:name="p2s-a-fivepillar-exposure-ktmfl"/>
      <w:r>
        <w:t>P2S-A — Five‑pillar exposure (K/T/M/F/L)</w:t>
      </w:r>
    </w:p>
    <w:p w14:paraId="06AC9596" w14:textId="77777777" w:rsidR="00787851" w:rsidRDefault="00000000">
      <w:pPr>
        <w:pStyle w:val="Compact"/>
        <w:numPr>
          <w:ilvl w:val="0"/>
          <w:numId w:val="10"/>
        </w:numPr>
      </w:pPr>
      <w:r>
        <w:t xml:space="preserve">Map </w:t>
      </w:r>
      <w:r>
        <w:rPr>
          <w:rStyle w:val="VerbatimChar"/>
        </w:rPr>
        <w:t>collab_type→pillar</w:t>
      </w:r>
      <w:r>
        <w:t xml:space="preserve"> and count per sector. Add brief narrative per top sector on Knowledge/Technology/Materials/Finance/Logistics exposure.</w:t>
      </w:r>
    </w:p>
    <w:p w14:paraId="25F35111" w14:textId="77777777" w:rsidR="00787851" w:rsidRDefault="00000000">
      <w:pPr>
        <w:pStyle w:val="Compact"/>
        <w:numPr>
          <w:ilvl w:val="0"/>
          <w:numId w:val="10"/>
        </w:numPr>
      </w:pPr>
      <w:r>
        <w:t xml:space="preserve">Output TSV: </w:t>
      </w:r>
      <w:r>
        <w:rPr>
          <w:rStyle w:val="VerbatimChar"/>
        </w:rPr>
        <w:t>SupplyPillars.tsv</w:t>
      </w:r>
      <w:r>
        <w:t xml:space="preserve"> with columns: </w:t>
      </w:r>
      <w:r>
        <w:rPr>
          <w:rStyle w:val="VerbatimChar"/>
        </w:rPr>
        <w:t>sector, K, T, M, F, L</w:t>
      </w:r>
      <w:r>
        <w:t>.</w:t>
      </w:r>
    </w:p>
    <w:p w14:paraId="0279CE26" w14:textId="77777777" w:rsidR="00787851" w:rsidRDefault="00000000">
      <w:pPr>
        <w:pStyle w:val="Heading2"/>
      </w:pPr>
      <w:bookmarkStart w:id="16" w:name="Xace11cee3f4bc5ebaeed0faafd3c749218fa557"/>
      <w:bookmarkEnd w:id="15"/>
      <w:r>
        <w:t xml:space="preserve">P2S-B — PRC exposure &amp; </w:t>
      </w:r>
      <w:r>
        <w:rPr>
          <w:b/>
          <w:bCs/>
        </w:rPr>
        <w:t>Sanctions/Legal overlay</w:t>
      </w:r>
    </w:p>
    <w:p w14:paraId="15E63A89" w14:textId="77777777" w:rsidR="00787851" w:rsidRDefault="00000000">
      <w:pPr>
        <w:pStyle w:val="Compact"/>
        <w:numPr>
          <w:ilvl w:val="0"/>
          <w:numId w:val="11"/>
        </w:numPr>
      </w:pPr>
      <w:r>
        <w:t>Compute PRC share per sector; list top 1–2 CN counterparts.</w:t>
      </w:r>
    </w:p>
    <w:p w14:paraId="3C604C20" w14:textId="77777777" w:rsidR="00787851" w:rsidRDefault="00000000">
      <w:pPr>
        <w:pStyle w:val="Compact"/>
        <w:numPr>
          <w:ilvl w:val="0"/>
          <w:numId w:val="11"/>
        </w:numPr>
      </w:pPr>
      <w:r w:rsidRPr="00A161C5">
        <w:rPr>
          <w:b/>
          <w:bCs/>
          <w:highlight w:val="yellow"/>
        </w:rPr>
        <w:lastRenderedPageBreak/>
        <w:t>Sanctions overlay</w:t>
      </w:r>
      <w:r>
        <w:rPr>
          <w:b/>
          <w:bCs/>
        </w:rPr>
        <w:t>:</w:t>
      </w:r>
      <w:r>
        <w:t xml:space="preserve"> exact/normalized joins to sanctioned names; add counts + exemplars; mark as </w:t>
      </w:r>
      <w:r>
        <w:rPr>
          <w:b/>
          <w:bCs/>
        </w:rPr>
        <w:t>signal, not proof</w:t>
      </w:r>
      <w:r>
        <w:t>.</w:t>
      </w:r>
    </w:p>
    <w:p w14:paraId="55553480" w14:textId="77777777" w:rsidR="00787851" w:rsidRDefault="00000000">
      <w:pPr>
        <w:pStyle w:val="Compact"/>
        <w:numPr>
          <w:ilvl w:val="0"/>
          <w:numId w:val="11"/>
        </w:numPr>
      </w:pPr>
      <w:r>
        <w:t>Output TSVs:</w:t>
      </w:r>
    </w:p>
    <w:p w14:paraId="40CBFA47" w14:textId="77777777" w:rsidR="0078785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sanctions_hits.csv</w:t>
      </w:r>
      <w:r>
        <w:t xml:space="preserve">: </w:t>
      </w:r>
      <w:r>
        <w:rPr>
          <w:rStyle w:val="VerbatimChar"/>
        </w:rPr>
        <w:t>match_type, source_list, name_matched, canon_name, country, matched_on, evidence_url, notes</w:t>
      </w:r>
    </w:p>
    <w:p w14:paraId="6C4D3F38" w14:textId="77777777" w:rsidR="0078785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legal_cases.tsv</w:t>
      </w:r>
      <w:r>
        <w:t xml:space="preserve"> (optional, if found): </w:t>
      </w:r>
      <w:r>
        <w:rPr>
          <w:rStyle w:val="VerbatimChar"/>
        </w:rPr>
        <w:t>case_id, jurisdiction, law/policy, defendant, alias(es), entity_type, tech_domain, allegation, outcome, year, country, source_url</w:t>
      </w:r>
    </w:p>
    <w:p w14:paraId="6A7F47D8" w14:textId="77777777" w:rsidR="00787851" w:rsidRDefault="00000000">
      <w:pPr>
        <w:pStyle w:val="Heading2"/>
      </w:pPr>
      <w:bookmarkStart w:id="17" w:name="X4a5f6308aaba9099862777641f51761e7eaaa58"/>
      <w:bookmarkEnd w:id="16"/>
      <w:r>
        <w:t>P2S-C — Logistics/procurement narrative &amp; Next Data Boost</w:t>
      </w:r>
    </w:p>
    <w:p w14:paraId="2FF41717" w14:textId="77777777" w:rsidR="00787851" w:rsidRDefault="00000000">
      <w:pPr>
        <w:pStyle w:val="Compact"/>
        <w:numPr>
          <w:ilvl w:val="0"/>
          <w:numId w:val="13"/>
        </w:numPr>
      </w:pPr>
      <w:r w:rsidRPr="00A161C5">
        <w:rPr>
          <w:highlight w:val="yellow"/>
        </w:rPr>
        <w:t>One paragraph</w:t>
      </w:r>
      <w:r>
        <w:t xml:space="preserve"> on procurement/logistics exposure (ports/customs/national procurement portal); </w:t>
      </w:r>
      <w:r>
        <w:rPr>
          <w:b/>
          <w:bCs/>
        </w:rPr>
        <w:t>1 example</w:t>
      </w:r>
      <w:r>
        <w:t xml:space="preserve"> if available.</w:t>
      </w:r>
    </w:p>
    <w:p w14:paraId="42269D3B" w14:textId="77777777" w:rsidR="00787851" w:rsidRDefault="00000000">
      <w:pPr>
        <w:pStyle w:val="Compact"/>
        <w:numPr>
          <w:ilvl w:val="0"/>
          <w:numId w:val="13"/>
        </w:numPr>
      </w:pPr>
      <w:r>
        <w:t>“Next Data Boost” suggestion (e.g., add tenders CSV 2019–2025) and path to rebuild.</w:t>
      </w:r>
    </w:p>
    <w:p w14:paraId="5E6AAC09" w14:textId="77777777" w:rsidR="00787851" w:rsidRDefault="00000000">
      <w:pPr>
        <w:pStyle w:val="FirstParagraph"/>
      </w:pPr>
      <w:r>
        <w:rPr>
          <w:b/>
          <w:bCs/>
        </w:rPr>
        <w:t>Where data helps (free):</w:t>
      </w:r>
      <w:r>
        <w:t xml:space="preserve"> national procurement portals, EU TED summaries, customs/dual‑use guidance pages; OFAC/EU/UK/CA/AU/NZ/UN lists (official), OpenSanctions (secondary search), DOJ/BIS enforcement press.</w:t>
      </w:r>
    </w:p>
    <w:p w14:paraId="3D56B9AD" w14:textId="77777777" w:rsidR="00787851" w:rsidRDefault="00000000">
      <w:r>
        <w:pict w14:anchorId="7D155BB1">
          <v:rect id="_x0000_i1031" style="width:0;height:1.5pt" o:hralign="center" o:hrstd="t" o:hr="t"/>
        </w:pict>
      </w:r>
    </w:p>
    <w:p w14:paraId="431DE49C" w14:textId="77777777" w:rsidR="00787851" w:rsidRDefault="00000000">
      <w:pPr>
        <w:pStyle w:val="Heading1"/>
      </w:pPr>
      <w:bookmarkStart w:id="18" w:name="phase-3-institutions-accredited-labs"/>
      <w:bookmarkEnd w:id="14"/>
      <w:bookmarkEnd w:id="17"/>
      <w:r>
        <w:t>Phase 3 — Institutions &amp; Accredited Labs</w:t>
      </w:r>
    </w:p>
    <w:p w14:paraId="6CD80870" w14:textId="77777777" w:rsidR="00787851" w:rsidRDefault="00000000">
      <w:pPr>
        <w:pStyle w:val="FirstParagraph"/>
      </w:pPr>
      <w:r>
        <w:rPr>
          <w:b/>
          <w:bCs/>
        </w:rPr>
        <w:t>Canvas (file):</w:t>
      </w:r>
      <w:r>
        <w:t xml:space="preserve"> </w:t>
      </w:r>
      <w:r>
        <w:rPr>
          <w:rStyle w:val="VerbatimChar"/>
        </w:rPr>
        <w:t>Write &lt;COUNTRY&gt; Phase 3 — Institutions &amp; Accredited Labs (reports/country=&lt;ISO2&gt;/phase-3_institutions.md)</w:t>
      </w:r>
    </w:p>
    <w:p w14:paraId="36C8B3BD" w14:textId="77777777" w:rsidR="00787851" w:rsidRDefault="00000000">
      <w:pPr>
        <w:pStyle w:val="Heading2"/>
      </w:pPr>
      <w:bookmarkStart w:id="19" w:name="p3-a-roster-with-cncontrols-fields"/>
      <w:r>
        <w:t>P3-A — Roster (with CN/controls fields)</w:t>
      </w:r>
    </w:p>
    <w:p w14:paraId="4CA427A9" w14:textId="77777777" w:rsidR="00787851" w:rsidRDefault="00000000">
      <w:pPr>
        <w:pStyle w:val="Compact"/>
        <w:numPr>
          <w:ilvl w:val="0"/>
          <w:numId w:val="14"/>
        </w:numPr>
      </w:pPr>
      <w:r>
        <w:t xml:space="preserve">Output TSV </w:t>
      </w:r>
      <w:r>
        <w:rPr>
          <w:rStyle w:val="VerbatimChar"/>
        </w:rPr>
        <w:t>Roster.tsv</w:t>
      </w:r>
      <w:r>
        <w:t xml:space="preserve"> with: </w:t>
      </w:r>
      <w:r>
        <w:rPr>
          <w:rStyle w:val="VerbatimChar"/>
        </w:rPr>
        <w:t>id, org_name, alt_name_zh, lei_or_national_id, org_type, city_region, sectors, capability_notes, facility_name, metric_1, metric_2, funders_partners, standards_roles, prc_links_note, beneficial_owner_summary, ci_stem_y_n, risk_note, evidence_id, url</w:t>
      </w:r>
      <w:r>
        <w:t>.</w:t>
      </w:r>
    </w:p>
    <w:p w14:paraId="50925B9B" w14:textId="77777777" w:rsidR="00787851" w:rsidRDefault="00000000">
      <w:pPr>
        <w:pStyle w:val="Compact"/>
        <w:numPr>
          <w:ilvl w:val="0"/>
          <w:numId w:val="14"/>
        </w:numPr>
      </w:pPr>
      <w:r>
        <w:t xml:space="preserve">Use </w:t>
      </w:r>
      <w:r>
        <w:rPr>
          <w:b/>
          <w:bCs/>
        </w:rPr>
        <w:t>CER‑lite</w:t>
      </w:r>
      <w:r>
        <w:t xml:space="preserve"> (name+country) before rankings; tag </w:t>
      </w:r>
      <w:r>
        <w:rPr>
          <w:rStyle w:val="VerbatimChar"/>
        </w:rPr>
        <w:t>(ambiguous)</w:t>
      </w:r>
      <w:r>
        <w:t xml:space="preserve"> if unresolved.</w:t>
      </w:r>
    </w:p>
    <w:p w14:paraId="19D121A7" w14:textId="77777777" w:rsidR="00787851" w:rsidRDefault="00000000">
      <w:pPr>
        <w:pStyle w:val="Heading2"/>
      </w:pPr>
      <w:bookmarkStart w:id="20" w:name="p3-b-accredited-labs-shortlist-qa"/>
      <w:bookmarkEnd w:id="19"/>
      <w:r>
        <w:t>P3-B — Accredited labs shortlist + QA</w:t>
      </w:r>
    </w:p>
    <w:p w14:paraId="0704BD11" w14:textId="77777777" w:rsidR="00787851" w:rsidRDefault="00000000">
      <w:pPr>
        <w:pStyle w:val="Compact"/>
        <w:numPr>
          <w:ilvl w:val="0"/>
          <w:numId w:val="15"/>
        </w:numPr>
      </w:pPr>
      <w:r>
        <w:t xml:space="preserve">Output TSV </w:t>
      </w:r>
      <w:r>
        <w:rPr>
          <w:rStyle w:val="VerbatimChar"/>
        </w:rPr>
        <w:t>AccreditedLabs.tsv</w:t>
      </w:r>
      <w:r>
        <w:t xml:space="preserve"> with: </w:t>
      </w:r>
      <w:r>
        <w:rPr>
          <w:rStyle w:val="VerbatimChar"/>
        </w:rPr>
        <w:t>organisation, iso_standard, accreditation_id, scope_short, sector_tags, city_region, status_note, last_check, links</w:t>
      </w:r>
      <w:r>
        <w:t>.</w:t>
      </w:r>
    </w:p>
    <w:p w14:paraId="5BD5EDE5" w14:textId="77777777" w:rsidR="00787851" w:rsidRDefault="00000000">
      <w:pPr>
        <w:pStyle w:val="Compact"/>
        <w:numPr>
          <w:ilvl w:val="0"/>
          <w:numId w:val="15"/>
        </w:numPr>
      </w:pPr>
      <w:r>
        <w:t>If none, print header + “drop‑in later” note.</w:t>
      </w:r>
    </w:p>
    <w:p w14:paraId="3914574A" w14:textId="77777777" w:rsidR="00787851" w:rsidRDefault="00000000">
      <w:pPr>
        <w:pStyle w:val="Heading2"/>
      </w:pPr>
      <w:bookmarkStart w:id="21" w:name="p3-c-lay-summary"/>
      <w:bookmarkEnd w:id="20"/>
      <w:r>
        <w:t>P3-C — Lay summary</w:t>
      </w:r>
    </w:p>
    <w:p w14:paraId="5C657757" w14:textId="77777777" w:rsidR="00787851" w:rsidRDefault="00000000">
      <w:pPr>
        <w:pStyle w:val="Compact"/>
        <w:numPr>
          <w:ilvl w:val="0"/>
          <w:numId w:val="16"/>
        </w:numPr>
      </w:pPr>
      <w:r w:rsidRPr="00A161C5">
        <w:rPr>
          <w:highlight w:val="yellow"/>
        </w:rPr>
        <w:t>Who the players are</w:t>
      </w:r>
      <w:r>
        <w:t>; which facilities matter for dual‑use; PRC‑linked ties + diligence actions; partnership opportunities &amp; gaps.</w:t>
      </w:r>
    </w:p>
    <w:p w14:paraId="3BA02D0E" w14:textId="77777777" w:rsidR="00787851" w:rsidRDefault="00000000">
      <w:pPr>
        <w:pStyle w:val="FirstParagraph"/>
      </w:pPr>
      <w:r>
        <w:rPr>
          <w:b/>
          <w:bCs/>
        </w:rPr>
        <w:lastRenderedPageBreak/>
        <w:t>Where data helps (free):</w:t>
      </w:r>
      <w:r>
        <w:t xml:space="preserve"> national accreditation bodies; company/BO registries; university directories; GLEIF/LEI.</w:t>
      </w:r>
    </w:p>
    <w:p w14:paraId="0AED53DF" w14:textId="77777777" w:rsidR="00787851" w:rsidRDefault="00000000">
      <w:r>
        <w:pict w14:anchorId="376B7D87">
          <v:rect id="_x0000_i1032" style="width:0;height:1.5pt" o:hralign="center" o:hrstd="t" o:hr="t"/>
        </w:pict>
      </w:r>
    </w:p>
    <w:p w14:paraId="4DB7470F" w14:textId="77777777" w:rsidR="00787851" w:rsidRDefault="00000000">
      <w:pPr>
        <w:pStyle w:val="Heading1"/>
      </w:pPr>
      <w:bookmarkStart w:id="22" w:name="X7f72e37621b3a71424b89ad6d6c6d20bc7a5146"/>
      <w:bookmarkEnd w:id="18"/>
      <w:bookmarkEnd w:id="21"/>
      <w:r>
        <w:t>Phase 4 — Funders &amp; Instruments (observation‑only)</w:t>
      </w:r>
    </w:p>
    <w:p w14:paraId="0B2DFB5F" w14:textId="77777777" w:rsidR="00787851" w:rsidRDefault="00000000">
      <w:pPr>
        <w:pStyle w:val="FirstParagraph"/>
      </w:pPr>
      <w:r>
        <w:rPr>
          <w:b/>
          <w:bCs/>
        </w:rPr>
        <w:t>Canvas (file):</w:t>
      </w:r>
      <w:r>
        <w:t xml:space="preserve"> </w:t>
      </w:r>
      <w:r>
        <w:rPr>
          <w:rStyle w:val="VerbatimChar"/>
        </w:rPr>
        <w:t>Write &lt;COUNTRY&gt; Phase 4 — Funding &amp; Instruments (reports/country=&lt;ISO2&gt;/phase-4_funding.md)</w:t>
      </w:r>
    </w:p>
    <w:p w14:paraId="7E1114B8" w14:textId="77777777" w:rsidR="00787851" w:rsidRDefault="00000000">
      <w:pPr>
        <w:pStyle w:val="Heading2"/>
      </w:pPr>
      <w:bookmarkStart w:id="23" w:name="p4-a-funders-instruments-lists"/>
      <w:r>
        <w:t>P4-A — Funders &amp; instruments lists</w:t>
      </w:r>
    </w:p>
    <w:p w14:paraId="7054D34C" w14:textId="77777777" w:rsidR="00787851" w:rsidRDefault="00000000">
      <w:pPr>
        <w:pStyle w:val="Compact"/>
        <w:numPr>
          <w:ilvl w:val="0"/>
          <w:numId w:val="17"/>
        </w:numPr>
      </w:pPr>
      <w:r>
        <w:t xml:space="preserve">Output TSV blocks: </w:t>
      </w:r>
      <w:r>
        <w:rPr>
          <w:b/>
          <w:bCs/>
        </w:rPr>
        <w:t>B1 Funders &amp; Instruments</w:t>
      </w:r>
      <w:r>
        <w:t xml:space="preserve">, </w:t>
      </w:r>
      <w:r>
        <w:rPr>
          <w:b/>
          <w:bCs/>
        </w:rPr>
        <w:t>B2 Regional Programmes</w:t>
      </w:r>
      <w:r>
        <w:t xml:space="preserve">, </w:t>
      </w:r>
      <w:r>
        <w:rPr>
          <w:b/>
          <w:bCs/>
        </w:rPr>
        <w:t>B3 Bank/Guarantee Lines</w:t>
      </w:r>
      <w:r>
        <w:t xml:space="preserve">, optional </w:t>
      </w:r>
      <w:r>
        <w:rPr>
          <w:b/>
          <w:bCs/>
        </w:rPr>
        <w:t>B4 Call Snapshot</w:t>
      </w:r>
      <w:r>
        <w:t>.</w:t>
      </w:r>
    </w:p>
    <w:p w14:paraId="013AFF94" w14:textId="77777777" w:rsidR="00787851" w:rsidRDefault="00000000">
      <w:pPr>
        <w:pStyle w:val="Compact"/>
        <w:numPr>
          <w:ilvl w:val="0"/>
          <w:numId w:val="17"/>
        </w:numPr>
      </w:pPr>
      <w:r>
        <w:t xml:space="preserve">Map instrument into </w:t>
      </w:r>
      <w:r>
        <w:rPr>
          <w:b/>
          <w:bCs/>
        </w:rPr>
        <w:t>grant / procurement / prize</w:t>
      </w:r>
      <w:r>
        <w:t>. Add search portal links.</w:t>
      </w:r>
    </w:p>
    <w:p w14:paraId="4F6B72B5" w14:textId="77777777" w:rsidR="00787851" w:rsidRDefault="00000000">
      <w:pPr>
        <w:pStyle w:val="Heading2"/>
      </w:pPr>
      <w:bookmarkStart w:id="24" w:name="X12444f755656668990c1f04204ac6cd899da3ae"/>
      <w:bookmarkEnd w:id="23"/>
      <w:r>
        <w:t xml:space="preserve">P4-B — </w:t>
      </w:r>
      <w:r>
        <w:rPr>
          <w:b/>
          <w:bCs/>
        </w:rPr>
        <w:t>Sanctions/Legal cross‑screen</w:t>
      </w:r>
      <w:r>
        <w:t xml:space="preserve"> (soft flags) &amp; lay summary</w:t>
      </w:r>
    </w:p>
    <w:p w14:paraId="681C6E75" w14:textId="77777777" w:rsidR="00787851" w:rsidRDefault="00000000">
      <w:pPr>
        <w:pStyle w:val="Compact"/>
        <w:numPr>
          <w:ilvl w:val="0"/>
          <w:numId w:val="18"/>
        </w:numPr>
      </w:pPr>
      <w:r>
        <w:t xml:space="preserve">Cross‑screen funders/beneficiaries vs </w:t>
      </w:r>
      <w:r>
        <w:rPr>
          <w:rStyle w:val="VerbatimChar"/>
        </w:rPr>
        <w:t>sanctions_registry.csv</w:t>
      </w:r>
      <w:r>
        <w:t xml:space="preserve"> and </w:t>
      </w:r>
      <w:r>
        <w:rPr>
          <w:rStyle w:val="VerbatimChar"/>
        </w:rPr>
        <w:t>legal_cases.tsv</w:t>
      </w:r>
      <w:r>
        <w:t xml:space="preserve"> → </w:t>
      </w:r>
      <w:r>
        <w:rPr>
          <w:b/>
          <w:bCs/>
        </w:rPr>
        <w:t>soft red flags</w:t>
      </w:r>
      <w:r>
        <w:t xml:space="preserve"> (narrative‑only; no dispositive claims). Add 3–5 bullet lay summary.</w:t>
      </w:r>
    </w:p>
    <w:p w14:paraId="25C6689B" w14:textId="77777777" w:rsidR="00787851" w:rsidRDefault="00000000">
      <w:pPr>
        <w:pStyle w:val="FirstParagraph"/>
      </w:pPr>
      <w:r>
        <w:rPr>
          <w:b/>
          <w:bCs/>
        </w:rPr>
        <w:t>Where data helps (free):</w:t>
      </w:r>
      <w:r>
        <w:t xml:space="preserve"> HE/EDF/COST/EUREKA/Xecs/EuroHPC/ESA/NATO SPS; UKRI/NSF/NIH/DFG/ANR/NEDO/JST; DIANA; EIB; official sanctions portals.</w:t>
      </w:r>
    </w:p>
    <w:p w14:paraId="47A7BD94" w14:textId="77777777" w:rsidR="00787851" w:rsidRDefault="00000000">
      <w:r>
        <w:pict w14:anchorId="31BB70FF">
          <v:rect id="_x0000_i1033" style="width:0;height:1.5pt" o:hralign="center" o:hrstd="t" o:hr="t"/>
        </w:pict>
      </w:r>
    </w:p>
    <w:p w14:paraId="0920A43F" w14:textId="77777777" w:rsidR="00787851" w:rsidRDefault="00000000">
      <w:pPr>
        <w:pStyle w:val="Heading1"/>
      </w:pPr>
      <w:bookmarkStart w:id="25" w:name="X572ed34348e19a85dc2270f9595c1503725ea29"/>
      <w:bookmarkEnd w:id="22"/>
      <w:bookmarkEnd w:id="24"/>
      <w:r>
        <w:t>Phase 5 — International Links &amp; Collaboration</w:t>
      </w:r>
    </w:p>
    <w:p w14:paraId="4449B152" w14:textId="77777777" w:rsidR="00787851" w:rsidRDefault="00000000">
      <w:pPr>
        <w:pStyle w:val="FirstParagraph"/>
      </w:pPr>
      <w:r>
        <w:rPr>
          <w:b/>
          <w:bCs/>
        </w:rPr>
        <w:t>Canvas (file):</w:t>
      </w:r>
      <w:r>
        <w:t xml:space="preserve"> </w:t>
      </w:r>
      <w:r>
        <w:rPr>
          <w:rStyle w:val="VerbatimChar"/>
        </w:rPr>
        <w:t>Write &lt;COUNTRY&gt; Phase 5 — International Links (reports/country=&lt;ISO2&gt;/phase-5_links.md)</w:t>
      </w:r>
    </w:p>
    <w:p w14:paraId="5A24659D" w14:textId="77777777" w:rsidR="00787851" w:rsidRDefault="00000000">
      <w:pPr>
        <w:pStyle w:val="Heading2"/>
      </w:pPr>
      <w:bookmarkStart w:id="26" w:name="p5-a-heatmap-top-relationships"/>
      <w:r>
        <w:t>P5-A — Heat‑map &amp; top relationships</w:t>
      </w:r>
    </w:p>
    <w:p w14:paraId="415B152C" w14:textId="77777777" w:rsidR="00787851" w:rsidRDefault="00000000">
      <w:pPr>
        <w:pStyle w:val="Compact"/>
        <w:numPr>
          <w:ilvl w:val="0"/>
          <w:numId w:val="19"/>
        </w:numPr>
      </w:pPr>
      <w:r>
        <w:t>Partner‑country × sector heat‑map (Intensity 0–3; Risk L/M/H) with ≥1 primary source per non‑zero cell.</w:t>
      </w:r>
    </w:p>
    <w:p w14:paraId="5E480A5B" w14:textId="77777777" w:rsidR="00787851" w:rsidRDefault="00000000">
      <w:pPr>
        <w:pStyle w:val="Compact"/>
        <w:numPr>
          <w:ilvl w:val="0"/>
          <w:numId w:val="19"/>
        </w:numPr>
      </w:pPr>
      <w:r>
        <w:t xml:space="preserve">Output TSVs: </w:t>
      </w:r>
      <w:r>
        <w:rPr>
          <w:rStyle w:val="VerbatimChar"/>
        </w:rPr>
        <w:t>HeatMap.tsv</w:t>
      </w:r>
      <w:r>
        <w:t xml:space="preserve"> (long), </w:t>
      </w:r>
      <w:r>
        <w:rPr>
          <w:rStyle w:val="VerbatimChar"/>
        </w:rPr>
        <w:t>TopRelationships.tsv</w:t>
      </w:r>
      <w:r>
        <w:t>.</w:t>
      </w:r>
    </w:p>
    <w:p w14:paraId="0CC228F1" w14:textId="77777777" w:rsidR="00787851" w:rsidRDefault="00000000">
      <w:pPr>
        <w:pStyle w:val="Compact"/>
        <w:numPr>
          <w:ilvl w:val="0"/>
          <w:numId w:val="19"/>
        </w:numPr>
      </w:pPr>
      <w:r>
        <w:t xml:space="preserve">Optional: </w:t>
      </w:r>
      <w:r>
        <w:rPr>
          <w:rStyle w:val="VerbatimChar"/>
        </w:rPr>
        <w:t>PRCEntities.tsv</w:t>
      </w:r>
      <w:r>
        <w:t xml:space="preserve"> (gov/university/SOE/corporate). Run </w:t>
      </w:r>
      <w:r>
        <w:rPr>
          <w:b/>
          <w:bCs/>
        </w:rPr>
        <w:t>CER‑lite</w:t>
      </w:r>
      <w:r>
        <w:t xml:space="preserve"> pre‑ranking.</w:t>
      </w:r>
    </w:p>
    <w:p w14:paraId="0FA95DE6" w14:textId="77777777" w:rsidR="00787851" w:rsidRDefault="00000000">
      <w:pPr>
        <w:pStyle w:val="Heading2"/>
      </w:pPr>
      <w:bookmarkStart w:id="27" w:name="X4b776dd4bdbe49fbcabf71e65099915ca6ea16a"/>
      <w:bookmarkEnd w:id="26"/>
      <w:r>
        <w:t xml:space="preserve">P5-B — </w:t>
      </w:r>
      <w:r>
        <w:rPr>
          <w:b/>
          <w:bCs/>
        </w:rPr>
        <w:t>Sanctions/Legal join</w:t>
      </w:r>
      <w:r>
        <w:t xml:space="preserve"> (signals) &amp; lay summary</w:t>
      </w:r>
    </w:p>
    <w:p w14:paraId="6F840ACE" w14:textId="77777777" w:rsidR="00787851" w:rsidRDefault="00000000">
      <w:pPr>
        <w:pStyle w:val="Compact"/>
        <w:numPr>
          <w:ilvl w:val="0"/>
          <w:numId w:val="20"/>
        </w:numPr>
      </w:pPr>
      <w:r>
        <w:t xml:space="preserve">Join top partners to </w:t>
      </w:r>
      <w:r>
        <w:rPr>
          <w:rStyle w:val="VerbatimChar"/>
        </w:rPr>
        <w:t>sanctions_registry.csv</w:t>
      </w:r>
      <w:r>
        <w:t xml:space="preserve"> and </w:t>
      </w:r>
      <w:r>
        <w:rPr>
          <w:rStyle w:val="VerbatimChar"/>
        </w:rPr>
        <w:t>legal_cases.tsv</w:t>
      </w:r>
      <w:r>
        <w:t xml:space="preserve">; write 2–3 lines per hit on </w:t>
      </w:r>
      <w:r>
        <w:rPr>
          <w:b/>
          <w:bCs/>
        </w:rPr>
        <w:t>why it matters</w:t>
      </w:r>
      <w:r>
        <w:t xml:space="preserve"> to a sector (signal, not proof). Close with benefits/risks, PRC ties, and mitigations.</w:t>
      </w:r>
    </w:p>
    <w:p w14:paraId="379F8144" w14:textId="77777777" w:rsidR="00787851" w:rsidRDefault="00000000">
      <w:pPr>
        <w:pStyle w:val="FirstParagraph"/>
      </w:pPr>
      <w:r>
        <w:rPr>
          <w:b/>
          <w:bCs/>
        </w:rPr>
        <w:lastRenderedPageBreak/>
        <w:t>Where data helps (free):</w:t>
      </w:r>
      <w:r>
        <w:t xml:space="preserve"> CORDIS co‑participation, standards co‑leadership, JV/equity filings, SOE/SASAC tags, official sanctions portals, OpenSanctions (search).</w:t>
      </w:r>
    </w:p>
    <w:p w14:paraId="7D2ECE10" w14:textId="77777777" w:rsidR="00787851" w:rsidRDefault="00000000">
      <w:r>
        <w:pict w14:anchorId="7EEAAF04">
          <v:rect id="_x0000_i1034" style="width:0;height:1.5pt" o:hralign="center" o:hrstd="t" o:hr="t"/>
        </w:pict>
      </w:r>
    </w:p>
    <w:p w14:paraId="07A43D24" w14:textId="77777777" w:rsidR="00787851" w:rsidRDefault="00000000">
      <w:pPr>
        <w:pStyle w:val="Heading1"/>
      </w:pPr>
      <w:bookmarkStart w:id="28" w:name="phase-6-risk-bestpractice-verification"/>
      <w:bookmarkEnd w:id="25"/>
      <w:bookmarkEnd w:id="27"/>
      <w:r>
        <w:t>Phase 6 — Risk &amp; Best‑practice Verification</w:t>
      </w:r>
    </w:p>
    <w:p w14:paraId="42CA5556" w14:textId="77777777" w:rsidR="00787851" w:rsidRDefault="00000000">
      <w:pPr>
        <w:pStyle w:val="FirstParagraph"/>
      </w:pPr>
      <w:r>
        <w:rPr>
          <w:b/>
          <w:bCs/>
        </w:rPr>
        <w:t>Canvas (file):</w:t>
      </w:r>
      <w:r>
        <w:t xml:space="preserve"> </w:t>
      </w:r>
      <w:r>
        <w:rPr>
          <w:rStyle w:val="VerbatimChar"/>
        </w:rPr>
        <w:t>Write &lt;COUNTRY&gt; Phase 6 — Risk &amp; Best-practice (reports/country=&lt;ISO2&gt;/phase-6_risk.md)</w:t>
      </w:r>
    </w:p>
    <w:p w14:paraId="6738941D" w14:textId="77777777" w:rsidR="00787851" w:rsidRDefault="00000000">
      <w:pPr>
        <w:pStyle w:val="Heading2"/>
      </w:pPr>
      <w:bookmarkStart w:id="29" w:name="p6-a-controls-ethicslegal-hooks"/>
      <w:r>
        <w:t>P6-A — Controls &amp; ethics/legal hooks</w:t>
      </w:r>
    </w:p>
    <w:p w14:paraId="00970E81" w14:textId="77777777" w:rsidR="00787851" w:rsidRDefault="00000000">
      <w:pPr>
        <w:pStyle w:val="Compact"/>
        <w:numPr>
          <w:ilvl w:val="0"/>
          <w:numId w:val="21"/>
        </w:numPr>
      </w:pPr>
      <w:r>
        <w:t xml:space="preserve">Controls Library C1–C10; Ethics/Legal checklist (IRB/IBC; export classification; DPIA/data map; MTAs/DUAs; KYC/BO/sanctions; facility SOPs; </w:t>
      </w:r>
      <w:r>
        <w:rPr>
          <w:b/>
          <w:bCs/>
        </w:rPr>
        <w:t>model‑weight policy</w:t>
      </w:r>
      <w:r>
        <w:t>; pre‑publication).</w:t>
      </w:r>
    </w:p>
    <w:p w14:paraId="3E1428E8" w14:textId="77777777" w:rsidR="00787851" w:rsidRDefault="00000000">
      <w:pPr>
        <w:pStyle w:val="Compact"/>
        <w:numPr>
          <w:ilvl w:val="0"/>
          <w:numId w:val="21"/>
        </w:numPr>
      </w:pPr>
      <w:r>
        <w:t>Map each control to an observed mechanism/standards role; one line each.</w:t>
      </w:r>
    </w:p>
    <w:p w14:paraId="26720F0C" w14:textId="77777777" w:rsidR="00787851" w:rsidRDefault="00000000">
      <w:pPr>
        <w:pStyle w:val="Compact"/>
        <w:numPr>
          <w:ilvl w:val="0"/>
          <w:numId w:val="21"/>
        </w:numPr>
      </w:pPr>
      <w:r>
        <w:t xml:space="preserve">Output TSVs: </w:t>
      </w:r>
      <w:r>
        <w:rPr>
          <w:rStyle w:val="VerbatimChar"/>
        </w:rPr>
        <w:t>RiskRegister.tsv</w:t>
      </w:r>
      <w:r>
        <w:t xml:space="preserve">, </w:t>
      </w:r>
      <w:r>
        <w:rPr>
          <w:rStyle w:val="VerbatimChar"/>
        </w:rPr>
        <w:t>ControlsLibrary.tsv</w:t>
      </w:r>
      <w:r>
        <w:t xml:space="preserve">, </w:t>
      </w:r>
      <w:r>
        <w:rPr>
          <w:rStyle w:val="VerbatimChar"/>
        </w:rPr>
        <w:t>DecisionGates.tsv</w:t>
      </w:r>
      <w:r>
        <w:t xml:space="preserve">, </w:t>
      </w:r>
      <w:r>
        <w:rPr>
          <w:rStyle w:val="VerbatimChar"/>
        </w:rPr>
        <w:t>FindingsRemediation.tsv</w:t>
      </w:r>
      <w:r>
        <w:t>.</w:t>
      </w:r>
    </w:p>
    <w:p w14:paraId="00B7F83C" w14:textId="77777777" w:rsidR="00787851" w:rsidRDefault="00000000">
      <w:pPr>
        <w:pStyle w:val="Heading2"/>
      </w:pPr>
      <w:bookmarkStart w:id="30" w:name="Xdd0110dc56c5e3f0f00b1a1884993e4ac617405"/>
      <w:bookmarkEnd w:id="29"/>
      <w:r>
        <w:t xml:space="preserve">P6-B — </w:t>
      </w:r>
      <w:r>
        <w:rPr>
          <w:b/>
          <w:bCs/>
        </w:rPr>
        <w:t>Legal/Controls Evidence</w:t>
      </w:r>
      <w:r>
        <w:t xml:space="preserve"> &amp; falsification</w:t>
      </w:r>
    </w:p>
    <w:p w14:paraId="2CBAC41B" w14:textId="77777777" w:rsidR="00787851" w:rsidRDefault="00000000">
      <w:pPr>
        <w:pStyle w:val="Compact"/>
        <w:numPr>
          <w:ilvl w:val="0"/>
          <w:numId w:val="22"/>
        </w:numPr>
      </w:pPr>
      <w:r>
        <w:t xml:space="preserve">Add </w:t>
      </w:r>
      <w:r>
        <w:rPr>
          <w:b/>
          <w:bCs/>
        </w:rPr>
        <w:t>case vignettes</w:t>
      </w:r>
      <w:r>
        <w:t xml:space="preserve"> (≤120 words each) drawn from </w:t>
      </w:r>
      <w:r>
        <w:rPr>
          <w:rStyle w:val="VerbatimChar"/>
        </w:rPr>
        <w:t>legal_cases.tsv</w:t>
      </w:r>
      <w:r>
        <w:t xml:space="preserve"> (or narrative if not available): defendant/entity, tech, allegation, outcome/status, year, source.</w:t>
      </w:r>
    </w:p>
    <w:p w14:paraId="1401FD07" w14:textId="77777777" w:rsidR="00787851" w:rsidRDefault="00000000">
      <w:pPr>
        <w:pStyle w:val="Compact"/>
        <w:numPr>
          <w:ilvl w:val="0"/>
          <w:numId w:val="22"/>
        </w:numPr>
      </w:pPr>
      <w:r>
        <w:t>Add falsification tests per top risk; proxies when incident data missing (export‑advisory trend; transfer notices; FDI reviews; model‑weight flags; vendor HHI). Summarize top 5 risks → expected controls → verification plan → G/A/R → Go/No‑Go.</w:t>
      </w:r>
    </w:p>
    <w:p w14:paraId="2B54C3E2" w14:textId="77777777" w:rsidR="00787851" w:rsidRDefault="00000000">
      <w:pPr>
        <w:pStyle w:val="FirstParagraph"/>
      </w:pPr>
      <w:r>
        <w:rPr>
          <w:b/>
          <w:bCs/>
        </w:rPr>
        <w:t>Where data helps (free):</w:t>
      </w:r>
      <w:r>
        <w:t xml:space="preserve"> DOJ/BIS/Treasury press; EU sanctions map; national enforcement; official list portals.</w:t>
      </w:r>
    </w:p>
    <w:p w14:paraId="6DEB781F" w14:textId="77777777" w:rsidR="00787851" w:rsidRDefault="00000000">
      <w:r>
        <w:pict w14:anchorId="0C491821">
          <v:rect id="_x0000_i1035" style="width:0;height:1.5pt" o:hralign="center" o:hrstd="t" o:hr="t"/>
        </w:pict>
      </w:r>
    </w:p>
    <w:p w14:paraId="7D6C3C99" w14:textId="77777777" w:rsidR="00787851" w:rsidRDefault="00000000">
      <w:pPr>
        <w:pStyle w:val="Heading1"/>
      </w:pPr>
      <w:bookmarkStart w:id="31" w:name="Xff8cb7aea6ab7306cd170fac5f76ed146c8a90c"/>
      <w:bookmarkEnd w:id="28"/>
      <w:bookmarkEnd w:id="30"/>
      <w:r>
        <w:t>Phase 7C — PRC Interest &amp; MCF Acquisition Assessment</w:t>
      </w:r>
    </w:p>
    <w:p w14:paraId="3C5DC16D" w14:textId="77777777" w:rsidR="00787851" w:rsidRDefault="00000000">
      <w:pPr>
        <w:pStyle w:val="FirstParagraph"/>
      </w:pPr>
      <w:r>
        <w:rPr>
          <w:b/>
          <w:bCs/>
        </w:rPr>
        <w:t>Canvas (file):</w:t>
      </w:r>
      <w:r>
        <w:t xml:space="preserve"> </w:t>
      </w:r>
      <w:r>
        <w:rPr>
          <w:rStyle w:val="VerbatimChar"/>
        </w:rPr>
        <w:t>Write &lt;COUNTRY&gt; Phase 7C — PRC Interest &amp; MCF (reports/country=&lt;ISO2&gt;/phase-7c_interest_mcf.md)</w:t>
      </w:r>
    </w:p>
    <w:p w14:paraId="73D25892" w14:textId="77777777" w:rsidR="00787851" w:rsidRDefault="00000000">
      <w:pPr>
        <w:pStyle w:val="Heading2"/>
      </w:pPr>
      <w:bookmarkStart w:id="32" w:name="p7c-a-signals-footprint-with-legal-layer"/>
      <w:r>
        <w:t>P7C-A — Signals &amp; footprint (with legal layer)</w:t>
      </w:r>
    </w:p>
    <w:p w14:paraId="679CE168" w14:textId="77777777" w:rsidR="00787851" w:rsidRDefault="00000000">
      <w:pPr>
        <w:pStyle w:val="Compact"/>
        <w:numPr>
          <w:ilvl w:val="0"/>
          <w:numId w:val="23"/>
        </w:numPr>
      </w:pPr>
      <w:r>
        <w:t xml:space="preserve">Populate </w:t>
      </w:r>
      <w:r>
        <w:rPr>
          <w:b/>
          <w:bCs/>
        </w:rPr>
        <w:t>PRC Interest Signals</w:t>
      </w:r>
      <w:r>
        <w:t xml:space="preserve">, </w:t>
      </w:r>
      <w:r>
        <w:rPr>
          <w:b/>
          <w:bCs/>
        </w:rPr>
        <w:t>In‑Country Footprint</w:t>
      </w:r>
      <w:r>
        <w:t xml:space="preserve">, </w:t>
      </w:r>
      <w:r>
        <w:rPr>
          <w:b/>
          <w:bCs/>
        </w:rPr>
        <w:t>Acquisition Vectors</w:t>
      </w:r>
      <w:r>
        <w:t xml:space="preserve"> from registries, gov portals, awards DBs, standards rosters, filings. Record EN+ZH names, registry IDs, dates, amounts/stakes; </w:t>
      </w:r>
      <w:r>
        <w:rPr>
          <w:rStyle w:val="VerbatimChar"/>
        </w:rPr>
        <w:t>source_tier</w:t>
      </w:r>
      <w:r>
        <w:t xml:space="preserve"> &amp; </w:t>
      </w:r>
      <w:r>
        <w:rPr>
          <w:rStyle w:val="VerbatimChar"/>
        </w:rPr>
        <w:t>confidence</w:t>
      </w:r>
      <w:r>
        <w:t>.</w:t>
      </w:r>
    </w:p>
    <w:p w14:paraId="0880431A" w14:textId="77777777" w:rsidR="00787851" w:rsidRDefault="00000000">
      <w:pPr>
        <w:pStyle w:val="Compact"/>
        <w:numPr>
          <w:ilvl w:val="0"/>
          <w:numId w:val="23"/>
        </w:numPr>
      </w:pPr>
      <w:r>
        <w:t xml:space="preserve">Cross‑reference </w:t>
      </w:r>
      <w:r>
        <w:rPr>
          <w:rStyle w:val="VerbatimChar"/>
        </w:rPr>
        <w:t>sanctions_registry.csv</w:t>
      </w:r>
      <w:r>
        <w:t xml:space="preserve"> and </w:t>
      </w:r>
      <w:r>
        <w:rPr>
          <w:rStyle w:val="VerbatimChar"/>
        </w:rPr>
        <w:t>legal_cases.tsv</w:t>
      </w:r>
      <w:r>
        <w:t xml:space="preserve">; use as </w:t>
      </w:r>
      <w:r>
        <w:rPr>
          <w:b/>
          <w:bCs/>
        </w:rPr>
        <w:t>specificity</w:t>
      </w:r>
      <w:r>
        <w:t xml:space="preserve"> anchors.</w:t>
      </w:r>
    </w:p>
    <w:p w14:paraId="3B9AFAA3" w14:textId="77777777" w:rsidR="00787851" w:rsidRDefault="00000000">
      <w:pPr>
        <w:pStyle w:val="Heading2"/>
      </w:pPr>
      <w:bookmarkStart w:id="33" w:name="p7c-b-policywhite-papers-scoring"/>
      <w:bookmarkEnd w:id="32"/>
      <w:r>
        <w:lastRenderedPageBreak/>
        <w:t>P7C-B — Policy/white papers &amp; scoring</w:t>
      </w:r>
    </w:p>
    <w:p w14:paraId="438E0FEA" w14:textId="77777777" w:rsidR="00787851" w:rsidRDefault="00000000">
      <w:pPr>
        <w:pStyle w:val="Compact"/>
        <w:numPr>
          <w:ilvl w:val="0"/>
          <w:numId w:val="24"/>
        </w:numPr>
      </w:pPr>
      <w:r>
        <w:t xml:space="preserve">Add policy/white‑paper snippets; compute </w:t>
      </w:r>
      <w:r>
        <w:rPr>
          <w:b/>
          <w:bCs/>
        </w:rPr>
        <w:t>Priority Index vs Convenience Index</w:t>
      </w:r>
      <w:r>
        <w:t xml:space="preserve"> with rationale &amp; uncertainty.</w:t>
      </w:r>
    </w:p>
    <w:p w14:paraId="3C054F89" w14:textId="77777777" w:rsidR="00787851" w:rsidRDefault="00000000">
      <w:pPr>
        <w:pStyle w:val="Heading2"/>
      </w:pPr>
      <w:bookmarkStart w:id="34" w:name="p7c-c-lay-summary-watchdog-tone"/>
      <w:bookmarkEnd w:id="33"/>
      <w:r>
        <w:t>P7C-C — Lay summary (watchdog tone)</w:t>
      </w:r>
    </w:p>
    <w:p w14:paraId="32C91835" w14:textId="77777777" w:rsidR="00787851" w:rsidRDefault="00000000">
      <w:pPr>
        <w:pStyle w:val="Compact"/>
        <w:numPr>
          <w:ilvl w:val="0"/>
          <w:numId w:val="25"/>
        </w:numPr>
      </w:pPr>
      <w:r>
        <w:t>Key takeaways; vectors with dates/amounts/stakes; posture call + uncertainty; mitigations suitable for a watchdog.</w:t>
      </w:r>
    </w:p>
    <w:p w14:paraId="67B27022" w14:textId="77777777" w:rsidR="00787851" w:rsidRDefault="00000000">
      <w:pPr>
        <w:pStyle w:val="FirstParagraph"/>
      </w:pPr>
      <w:r>
        <w:rPr>
          <w:b/>
          <w:bCs/>
        </w:rPr>
        <w:t>Rule:</w:t>
      </w:r>
      <w:r>
        <w:t xml:space="preserve"> To escalate L1→L2, require ≥1 evidence row; to L3, require ≥1 policy anchor </w:t>
      </w:r>
      <w:r>
        <w:rPr>
          <w:b/>
          <w:bCs/>
        </w:rPr>
        <w:t>or</w:t>
      </w:r>
      <w:r>
        <w:t xml:space="preserve"> legal/sanctions anchor.</w:t>
      </w:r>
    </w:p>
    <w:p w14:paraId="4384C21C" w14:textId="77777777" w:rsidR="00787851" w:rsidRDefault="00000000">
      <w:r>
        <w:pict w14:anchorId="6B2F5E36">
          <v:rect id="_x0000_i1036" style="width:0;height:1.5pt" o:hralign="center" o:hrstd="t" o:hr="t"/>
        </w:pict>
      </w:r>
    </w:p>
    <w:p w14:paraId="57178C61" w14:textId="77777777" w:rsidR="00787851" w:rsidRDefault="00000000">
      <w:pPr>
        <w:pStyle w:val="Heading1"/>
      </w:pPr>
      <w:bookmarkStart w:id="35" w:name="phase-7r-assumption-check-redteam-review"/>
      <w:bookmarkEnd w:id="31"/>
      <w:bookmarkEnd w:id="34"/>
      <w:r>
        <w:t>Phase 7R — Assumption Check &amp; Red‑team Review</w:t>
      </w:r>
    </w:p>
    <w:p w14:paraId="3D7147C5" w14:textId="77777777" w:rsidR="00787851" w:rsidRDefault="00000000">
      <w:pPr>
        <w:pStyle w:val="FirstParagraph"/>
      </w:pPr>
      <w:r>
        <w:rPr>
          <w:b/>
          <w:bCs/>
        </w:rPr>
        <w:t>Canvas (file):</w:t>
      </w:r>
      <w:r>
        <w:t xml:space="preserve"> </w:t>
      </w:r>
      <w:r>
        <w:rPr>
          <w:rStyle w:val="VerbatimChar"/>
        </w:rPr>
        <w:t>Write &lt;COUNTRY&gt; Phase 7R — Red-Team (reports/country=&lt;ISO2&gt;/phase-7r_redteam.md)</w:t>
      </w:r>
    </w:p>
    <w:p w14:paraId="3DDB24F0" w14:textId="77777777" w:rsidR="00787851" w:rsidRDefault="00000000">
      <w:pPr>
        <w:pStyle w:val="Compact"/>
        <w:numPr>
          <w:ilvl w:val="0"/>
          <w:numId w:val="26"/>
        </w:numPr>
      </w:pPr>
      <w:r>
        <w:t>Journalist‑style critique per phase; contradictions with severity; coverage gaps; method stress‑tests (double counting; keyword bias; Tier‑3 overreliance); ethics/export blind spots.</w:t>
      </w:r>
    </w:p>
    <w:p w14:paraId="1B24D2E5" w14:textId="77777777" w:rsidR="00787851" w:rsidRDefault="00000000">
      <w:pPr>
        <w:pStyle w:val="Compact"/>
        <w:numPr>
          <w:ilvl w:val="0"/>
          <w:numId w:val="26"/>
        </w:numPr>
      </w:pPr>
      <w:r>
        <w:t xml:space="preserve">Output TSVs: </w:t>
      </w:r>
      <w:r>
        <w:rPr>
          <w:rStyle w:val="VerbatimChar"/>
        </w:rPr>
        <w:t>ContradictionsLog.tsv</w:t>
      </w:r>
      <w:r>
        <w:t xml:space="preserve">, </w:t>
      </w:r>
      <w:r>
        <w:rPr>
          <w:rStyle w:val="VerbatimChar"/>
        </w:rPr>
        <w:t>RedTeamActions.tsv</w:t>
      </w:r>
      <w:r>
        <w:t>. Close with Top‑5 fixes (owners, due dates) and fit‑for‑public decision.</w:t>
      </w:r>
    </w:p>
    <w:p w14:paraId="6EBB6E82" w14:textId="77777777" w:rsidR="00787851" w:rsidRDefault="00000000">
      <w:r>
        <w:pict w14:anchorId="133E2E9D">
          <v:rect id="_x0000_i1037" style="width:0;height:1.5pt" o:hralign="center" o:hrstd="t" o:hr="t"/>
        </w:pict>
      </w:r>
    </w:p>
    <w:p w14:paraId="278B70D5" w14:textId="77777777" w:rsidR="00787851" w:rsidRDefault="00000000">
      <w:pPr>
        <w:pStyle w:val="Heading1"/>
      </w:pPr>
      <w:bookmarkStart w:id="36" w:name="phase-8-foresight-early-warning-2y5y10y"/>
      <w:bookmarkEnd w:id="35"/>
      <w:r>
        <w:t>Phase 8 — Foresight &amp; Early Warning (2y/5y/10y)</w:t>
      </w:r>
    </w:p>
    <w:p w14:paraId="2B745BBE" w14:textId="77777777" w:rsidR="00787851" w:rsidRDefault="00000000">
      <w:pPr>
        <w:pStyle w:val="FirstParagraph"/>
      </w:pPr>
      <w:r>
        <w:rPr>
          <w:b/>
          <w:bCs/>
        </w:rPr>
        <w:t>Canvas (file):</w:t>
      </w:r>
      <w:r>
        <w:t xml:space="preserve"> </w:t>
      </w:r>
      <w:r>
        <w:rPr>
          <w:rStyle w:val="VerbatimChar"/>
        </w:rPr>
        <w:t>Write &lt;COUNTRY&gt; Phase 8 — Foresight (reports/country=&lt;ISO2&gt;/phase-8_foresight.md)</w:t>
      </w:r>
    </w:p>
    <w:p w14:paraId="29F062FD" w14:textId="77777777" w:rsidR="00787851" w:rsidRDefault="00000000">
      <w:pPr>
        <w:pStyle w:val="Heading2"/>
      </w:pPr>
      <w:bookmarkStart w:id="37" w:name="p8-a-methods-variables"/>
      <w:r>
        <w:t>P8-A — Methods &amp; variables</w:t>
      </w:r>
    </w:p>
    <w:p w14:paraId="06124B05" w14:textId="77777777" w:rsidR="00787851" w:rsidRDefault="00000000">
      <w:pPr>
        <w:pStyle w:val="Compact"/>
        <w:numPr>
          <w:ilvl w:val="0"/>
          <w:numId w:val="27"/>
        </w:numPr>
      </w:pPr>
      <w:r>
        <w:t>Pick ≥3 methods (signals→trendlines, standards velocity, programme pipeline, scenario cones, structural breaks, hindcast/backtest). Define forecast variables (activity index, maturity trajectory, standards velocity, funding outlook, capacity, talent, policy).</w:t>
      </w:r>
    </w:p>
    <w:p w14:paraId="06D4C0C2" w14:textId="77777777" w:rsidR="00787851" w:rsidRDefault="00000000">
      <w:pPr>
        <w:pStyle w:val="Heading2"/>
      </w:pPr>
      <w:bookmarkStart w:id="38" w:name="p8-b-prc-targeting-model-2y5y10y"/>
      <w:bookmarkEnd w:id="37"/>
      <w:r>
        <w:t>P8-B — PRC targeting model (2y/5y/10y)</w:t>
      </w:r>
    </w:p>
    <w:p w14:paraId="2AF37FF6" w14:textId="77777777" w:rsidR="00787851" w:rsidRDefault="00000000">
      <w:pPr>
        <w:pStyle w:val="Compact"/>
        <w:numPr>
          <w:ilvl w:val="0"/>
          <w:numId w:val="28"/>
        </w:numPr>
      </w:pPr>
      <w:r>
        <w:t>Score = Attractiveness + Access + Payoff − Friction (defaults okay). Output: targeting scores, institution watchlist, country risk, triggers.</w:t>
      </w:r>
    </w:p>
    <w:p w14:paraId="5A80BDA8" w14:textId="77777777" w:rsidR="00787851" w:rsidRDefault="00000000">
      <w:pPr>
        <w:pStyle w:val="Heading2"/>
      </w:pPr>
      <w:bookmarkStart w:id="39" w:name="p8-c-redteam-calibration"/>
      <w:bookmarkEnd w:id="38"/>
      <w:r>
        <w:lastRenderedPageBreak/>
        <w:t>P8-C — Red‑team &amp; calibration</w:t>
      </w:r>
    </w:p>
    <w:p w14:paraId="17F8C634" w14:textId="77777777" w:rsidR="00787851" w:rsidRDefault="00000000">
      <w:pPr>
        <w:pStyle w:val="Compact"/>
        <w:numPr>
          <w:ilvl w:val="0"/>
          <w:numId w:val="29"/>
        </w:numPr>
      </w:pPr>
      <w:r>
        <w:t>Hindcast/backtest (MAE/MAPE); remove Tier‑C to test fragility; publish uncertainty bands and attributions.</w:t>
      </w:r>
    </w:p>
    <w:p w14:paraId="3DD86925" w14:textId="77777777" w:rsidR="00787851" w:rsidRDefault="00000000">
      <w:pPr>
        <w:pStyle w:val="FirstParagraph"/>
      </w:pPr>
      <w:r>
        <w:rPr>
          <w:b/>
          <w:bCs/>
        </w:rPr>
        <w:t>Where data helps (free):</w:t>
      </w:r>
      <w:r>
        <w:t xml:space="preserve"> historical signals; standards pipeline; programme cadence; policy cycles.</w:t>
      </w:r>
    </w:p>
    <w:p w14:paraId="32468962" w14:textId="77777777" w:rsidR="00787851" w:rsidRDefault="00000000">
      <w:r>
        <w:pict w14:anchorId="538EED37">
          <v:rect id="_x0000_i1038" style="width:0;height:1.5pt" o:hralign="center" o:hrstd="t" o:hr="t"/>
        </w:pict>
      </w:r>
    </w:p>
    <w:p w14:paraId="57113F61" w14:textId="77777777" w:rsidR="00787851" w:rsidRDefault="00000000">
      <w:pPr>
        <w:pStyle w:val="Heading2"/>
      </w:pPr>
      <w:bookmarkStart w:id="40" w:name="X5f46d966ed8601ba437746287b044a184ea901a"/>
      <w:bookmarkEnd w:id="39"/>
      <w:r>
        <w:t>Legal/Sanctions Casework — shared artifacts &amp; micro‑prompts</w:t>
      </w:r>
    </w:p>
    <w:p w14:paraId="4BB950B7" w14:textId="77777777" w:rsidR="00787851" w:rsidRDefault="00000000">
      <w:pPr>
        <w:pStyle w:val="FirstParagraph"/>
      </w:pPr>
      <w:r>
        <w:rPr>
          <w:b/>
          <w:bCs/>
        </w:rPr>
        <w:t>Files (append‑ready; optional but recommended):</w:t>
      </w:r>
      <w:r>
        <w:t xml:space="preserve"> - </w:t>
      </w:r>
      <w:r>
        <w:rPr>
          <w:rStyle w:val="VerbatimChar"/>
        </w:rPr>
        <w:t>sanctions_registry.csv</w:t>
      </w:r>
      <w:r>
        <w:t xml:space="preserve"> (normalized index across lists): </w:t>
      </w:r>
      <w:r>
        <w:rPr>
          <w:rStyle w:val="VerbatimChar"/>
        </w:rPr>
        <w:t>list_name, list_agency, program, name, aka, entity_type, birth_or_incorp_year, country, lei, id_native, date_listed, date_updated, url</w:t>
      </w:r>
      <w:r>
        <w:t xml:space="preserve"> - </w:t>
      </w:r>
      <w:r>
        <w:rPr>
          <w:rStyle w:val="VerbatimChar"/>
        </w:rPr>
        <w:t>sanctions_hits.csv</w:t>
      </w:r>
      <w:r>
        <w:t xml:space="preserve"> (joins into our ecosystem): </w:t>
      </w:r>
      <w:r>
        <w:rPr>
          <w:rStyle w:val="VerbatimChar"/>
        </w:rPr>
        <w:t>match_type, source_list, name_matched, canon_name, country, matched_on, evidence_url, notes</w:t>
      </w:r>
      <w:r>
        <w:t xml:space="preserve"> - </w:t>
      </w:r>
      <w:r>
        <w:rPr>
          <w:rStyle w:val="VerbatimChar"/>
        </w:rPr>
        <w:t>legal_cases.tsv</w:t>
      </w:r>
      <w:r>
        <w:t xml:space="preserve"> (export‑control/tech‑transfer/enforcement): </w:t>
      </w:r>
      <w:r>
        <w:rPr>
          <w:rStyle w:val="VerbatimChar"/>
        </w:rPr>
        <w:t>case_id, jurisdiction, law_or_policy, defendant, aliases, entity_type, tech_domain, allegation, outcome, year, country, source_url</w:t>
      </w:r>
      <w:r>
        <w:t xml:space="preserve"> - </w:t>
      </w:r>
      <w:r>
        <w:rPr>
          <w:rStyle w:val="VerbatimChar"/>
        </w:rPr>
        <w:t>fdi_screening_policies.tsv</w:t>
      </w:r>
      <w:r>
        <w:t xml:space="preserve">: </w:t>
      </w:r>
      <w:r>
        <w:rPr>
          <w:rStyle w:val="VerbatimChar"/>
        </w:rPr>
        <w:t>country, regime_name, scope, screening_body, trigger_thresholds, sectoral_focus, defense_link, year_effective, url</w:t>
      </w:r>
      <w:r>
        <w:t xml:space="preserve"> - </w:t>
      </w:r>
      <w:r>
        <w:rPr>
          <w:rStyle w:val="VerbatimChar"/>
        </w:rPr>
        <w:t>export_controls_baseline.tsv</w:t>
      </w:r>
      <w:r>
        <w:t xml:space="preserve">: </w:t>
      </w:r>
      <w:r>
        <w:rPr>
          <w:rStyle w:val="VerbatimChar"/>
        </w:rPr>
        <w:t>country, regime, law_or_reg, dual_use_scope, licensing_body, penalties_blurb, url</w:t>
      </w:r>
    </w:p>
    <w:p w14:paraId="1F5A6C93" w14:textId="77777777" w:rsidR="00787851" w:rsidRDefault="00000000">
      <w:pPr>
        <w:pStyle w:val="BodyText"/>
      </w:pPr>
      <w:r>
        <w:rPr>
          <w:b/>
          <w:bCs/>
        </w:rPr>
        <w:t>Micro‑prompts (paste to ChatGPT whenever needed):</w:t>
      </w:r>
      <w:r>
        <w:t xml:space="preserve"> 1) </w:t>
      </w:r>
      <w:r>
        <w:rPr>
          <w:i/>
          <w:iCs/>
        </w:rPr>
        <w:t>Legal framework explainer (country)</w:t>
      </w:r>
      <w:r>
        <w:t xml:space="preserve"> — “Summarize ’s FDI screening (CFIUS‑like) and export‑control regime in ≤180 words; cite the legal basis and screening/enforcement bodies; add 1 example action since 2018 if found.” 2) </w:t>
      </w:r>
      <w:r>
        <w:rPr>
          <w:i/>
          <w:iCs/>
        </w:rPr>
        <w:t>Sanctions posture snapshot</w:t>
      </w:r>
      <w:r>
        <w:t xml:space="preserve"> — “List official sanctions list portal(s) for US/EU/UK/CA/AU/NZ/UN and , with one‑line scope notes; add a cadence (weekly/monthly/quarterly).” 3) </w:t>
      </w:r>
      <w:r>
        <w:rPr>
          <w:i/>
          <w:iCs/>
        </w:rPr>
        <w:t>Case vignettes</w:t>
      </w:r>
      <w:r>
        <w:t xml:space="preserve"> — “Find 1–3 tech‑transfer/export‑control cases relevant to  or its institutions (2015–present). For each: defendant/entity, tech domain, allegation, outcome/status, year, source link. ≤120 words each.” 4) </w:t>
      </w:r>
      <w:r>
        <w:rPr>
          <w:i/>
          <w:iCs/>
        </w:rPr>
        <w:t>Cross‑hit narrative</w:t>
      </w:r>
      <w:r>
        <w:t xml:space="preserve"> — “From our Top Relationships (Phase‑5) and Roster, check if any counterpart is sanctioned or named in a legal case; write 2–3 lines on why this matters to sector X (signal, not proof).” 5) </w:t>
      </w:r>
      <w:r>
        <w:rPr>
          <w:i/>
          <w:iCs/>
        </w:rPr>
        <w:t>Controls mapping</w:t>
      </w:r>
      <w:r>
        <w:t xml:space="preserve"> — “Given Risk Register top items, map each to at least one control and one legal/policy hook (export classification, FDI screen, sanctions check, data‑protection). 1–2 lines each.”</w:t>
      </w:r>
    </w:p>
    <w:p w14:paraId="6B04130C" w14:textId="77777777" w:rsidR="00787851" w:rsidRDefault="00000000">
      <w:pPr>
        <w:pStyle w:val="BodyText"/>
      </w:pPr>
      <w:r>
        <w:rPr>
          <w:b/>
          <w:bCs/>
        </w:rPr>
        <w:t>Free, stable sources to target narratively:</w:t>
      </w:r>
      <w:r>
        <w:t xml:space="preserve"> official sanctions portals (OFAC/EU/UK OFSI/CA/AU/NZ/UN), national sanctions pages; DOJ/BIS/Treasury press releases; EU Council/Commission notices; national prosecutor/justice ministry releases; CourtListener/RECAP; EU CURIA; OpenSanctions (search only, mark as secondary); GLEIF/LEI and national company registers for entity verification.</w:t>
      </w:r>
    </w:p>
    <w:p w14:paraId="165BB6C9" w14:textId="77777777" w:rsidR="00787851" w:rsidRDefault="00000000">
      <w:r>
        <w:pict w14:anchorId="2D2F28F4">
          <v:rect id="_x0000_i1039" style="width:0;height:1.5pt" o:hralign="center" o:hrstd="t" o:hr="t"/>
        </w:pict>
      </w:r>
    </w:p>
    <w:p w14:paraId="57800792" w14:textId="77777777" w:rsidR="00787851" w:rsidRDefault="00000000">
      <w:pPr>
        <w:pStyle w:val="Heading2"/>
      </w:pPr>
      <w:bookmarkStart w:id="41" w:name="solofriendly-guardrails-baked-in"/>
      <w:bookmarkEnd w:id="40"/>
      <w:r>
        <w:lastRenderedPageBreak/>
        <w:t>Solo‑friendly guardrails (baked in)</w:t>
      </w:r>
    </w:p>
    <w:p w14:paraId="65AF61F9" w14:textId="77777777" w:rsidR="00787851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Happy Path</w:t>
      </w:r>
      <w:r>
        <w:t xml:space="preserve"> at P0; </w:t>
      </w:r>
      <w:r>
        <w:rPr>
          <w:b/>
          <w:bCs/>
        </w:rPr>
        <w:t>panic buttons</w:t>
      </w:r>
      <w:r>
        <w:t xml:space="preserve"> produce empty‑but‑valid tables when data thin.</w:t>
      </w:r>
    </w:p>
    <w:p w14:paraId="144E89EA" w14:textId="77777777" w:rsidR="00787851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CER‑lite</w:t>
      </w:r>
      <w:r>
        <w:t xml:space="preserve"> (name+country) before any partner ranking; tag </w:t>
      </w:r>
      <w:r>
        <w:rPr>
          <w:rStyle w:val="VerbatimChar"/>
        </w:rPr>
        <w:t>(ambiguous)</w:t>
      </w:r>
      <w:r>
        <w:t xml:space="preserve"> not dropped.</w:t>
      </w:r>
    </w:p>
    <w:p w14:paraId="240DA489" w14:textId="77777777" w:rsidR="00787851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Consortium skew</w:t>
      </w:r>
      <w:r>
        <w:t xml:space="preserve"> guardrail: caution if </w:t>
      </w:r>
      <w:r>
        <w:rPr>
          <w:rStyle w:val="VerbatimChar"/>
        </w:rPr>
        <w:t>top1_share &gt; 0.5</w:t>
      </w:r>
      <w:r>
        <w:t>.</w:t>
      </w:r>
    </w:p>
    <w:p w14:paraId="3A6DDD08" w14:textId="77777777" w:rsidR="00787851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Low‑cadence narrative</w:t>
      </w:r>
      <w:r>
        <w:t xml:space="preserve"> (P0 portals; Phase‑3 roster notes; Phase‑4 funder descriptions) — refresh quarterly/annually.</w:t>
      </w:r>
    </w:p>
    <w:p w14:paraId="23C55DC4" w14:textId="77777777" w:rsidR="00787851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Three highest‑ROI boosts:</w:t>
      </w:r>
      <w:r>
        <w:t xml:space="preserve"> CORDIS participants CSV; one national accreditation CSV; two PRC policy docs.</w:t>
      </w:r>
    </w:p>
    <w:p w14:paraId="65AAE438" w14:textId="77777777" w:rsidR="00787851" w:rsidRDefault="00000000">
      <w:r>
        <w:pict w14:anchorId="0542E78B">
          <v:rect id="_x0000_i1040" style="width:0;height:1.5pt" o:hralign="center" o:hrstd="t" o:hr="t"/>
        </w:pict>
      </w:r>
    </w:p>
    <w:p w14:paraId="68022523" w14:textId="77777777" w:rsidR="00787851" w:rsidRDefault="00000000">
      <w:pPr>
        <w:pStyle w:val="Heading2"/>
      </w:pPr>
      <w:bookmarkStart w:id="42" w:name="X35043a6181955525b3119bda2921c064363435a"/>
      <w:bookmarkEnd w:id="41"/>
      <w:r>
        <w:t>Output contract reminder (applies to every micro‑prompt)</w:t>
      </w:r>
    </w:p>
    <w:p w14:paraId="3557A607" w14:textId="77777777" w:rsidR="00787851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Create the canvas with the exact title</w:t>
      </w:r>
      <w:r>
        <w:t xml:space="preserve"> and write </w:t>
      </w:r>
      <w:r>
        <w:rPr>
          <w:b/>
          <w:bCs/>
        </w:rPr>
        <w:t>only</w:t>
      </w:r>
      <w:r>
        <w:t xml:space="preserve"> final file content.</w:t>
      </w:r>
    </w:p>
    <w:p w14:paraId="7E892D1C" w14:textId="77777777" w:rsidR="00787851" w:rsidRDefault="00000000">
      <w:pPr>
        <w:pStyle w:val="Compact"/>
        <w:numPr>
          <w:ilvl w:val="0"/>
          <w:numId w:val="31"/>
        </w:numPr>
      </w:pPr>
      <w:r>
        <w:t>If templates/data are missing, still render a complete report with “No data yet — drop‑in CSV recipe below” notes.</w:t>
      </w:r>
    </w:p>
    <w:p w14:paraId="6F9491D1" w14:textId="77777777" w:rsidR="00787851" w:rsidRDefault="00000000">
      <w:pPr>
        <w:pStyle w:val="Compact"/>
        <w:numPr>
          <w:ilvl w:val="0"/>
          <w:numId w:val="31"/>
        </w:numPr>
      </w:pPr>
      <w:r>
        <w:t>Include inline citations for non‑obvious facts (URLs + access dates where possible).</w:t>
      </w:r>
    </w:p>
    <w:p w14:paraId="31AAE880" w14:textId="77777777" w:rsidR="00787851" w:rsidRDefault="00000000">
      <w:pPr>
        <w:pStyle w:val="Compact"/>
        <w:numPr>
          <w:ilvl w:val="0"/>
          <w:numId w:val="31"/>
        </w:numPr>
      </w:pPr>
      <w:r>
        <w:t xml:space="preserve">Return TSVs in fenced blocks labeled </w:t>
      </w:r>
      <w:r>
        <w:rPr>
          <w:rStyle w:val="VerbatimChar"/>
        </w:rPr>
        <w:t># excel-tsv</w:t>
      </w:r>
      <w:r>
        <w:t xml:space="preserve"> for copy/paste.</w:t>
      </w:r>
      <w:bookmarkEnd w:id="36"/>
      <w:bookmarkEnd w:id="42"/>
    </w:p>
    <w:sectPr w:rsidR="0078785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D14745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786F58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36089316">
    <w:abstractNumId w:val="0"/>
  </w:num>
  <w:num w:numId="2" w16cid:durableId="1726636344">
    <w:abstractNumId w:val="1"/>
  </w:num>
  <w:num w:numId="3" w16cid:durableId="439956242">
    <w:abstractNumId w:val="1"/>
  </w:num>
  <w:num w:numId="4" w16cid:durableId="531462771">
    <w:abstractNumId w:val="1"/>
  </w:num>
  <w:num w:numId="5" w16cid:durableId="886069176">
    <w:abstractNumId w:val="1"/>
  </w:num>
  <w:num w:numId="6" w16cid:durableId="1236475092">
    <w:abstractNumId w:val="1"/>
  </w:num>
  <w:num w:numId="7" w16cid:durableId="1415781567">
    <w:abstractNumId w:val="1"/>
  </w:num>
  <w:num w:numId="8" w16cid:durableId="459958692">
    <w:abstractNumId w:val="1"/>
  </w:num>
  <w:num w:numId="9" w16cid:durableId="1596396445">
    <w:abstractNumId w:val="1"/>
  </w:num>
  <w:num w:numId="10" w16cid:durableId="1836065688">
    <w:abstractNumId w:val="1"/>
  </w:num>
  <w:num w:numId="11" w16cid:durableId="325477229">
    <w:abstractNumId w:val="1"/>
  </w:num>
  <w:num w:numId="12" w16cid:durableId="77750590">
    <w:abstractNumId w:val="1"/>
  </w:num>
  <w:num w:numId="13" w16cid:durableId="473370892">
    <w:abstractNumId w:val="1"/>
  </w:num>
  <w:num w:numId="14" w16cid:durableId="1086922517">
    <w:abstractNumId w:val="1"/>
  </w:num>
  <w:num w:numId="15" w16cid:durableId="93062866">
    <w:abstractNumId w:val="1"/>
  </w:num>
  <w:num w:numId="16" w16cid:durableId="1208449766">
    <w:abstractNumId w:val="1"/>
  </w:num>
  <w:num w:numId="17" w16cid:durableId="531572736">
    <w:abstractNumId w:val="1"/>
  </w:num>
  <w:num w:numId="18" w16cid:durableId="392042685">
    <w:abstractNumId w:val="1"/>
  </w:num>
  <w:num w:numId="19" w16cid:durableId="953484843">
    <w:abstractNumId w:val="1"/>
  </w:num>
  <w:num w:numId="20" w16cid:durableId="366179720">
    <w:abstractNumId w:val="1"/>
  </w:num>
  <w:num w:numId="21" w16cid:durableId="1191921316">
    <w:abstractNumId w:val="1"/>
  </w:num>
  <w:num w:numId="22" w16cid:durableId="70200203">
    <w:abstractNumId w:val="1"/>
  </w:num>
  <w:num w:numId="23" w16cid:durableId="1134447206">
    <w:abstractNumId w:val="1"/>
  </w:num>
  <w:num w:numId="24" w16cid:durableId="1052077617">
    <w:abstractNumId w:val="1"/>
  </w:num>
  <w:num w:numId="25" w16cid:durableId="319042477">
    <w:abstractNumId w:val="1"/>
  </w:num>
  <w:num w:numId="26" w16cid:durableId="220337589">
    <w:abstractNumId w:val="1"/>
  </w:num>
  <w:num w:numId="27" w16cid:durableId="1679654723">
    <w:abstractNumId w:val="1"/>
  </w:num>
  <w:num w:numId="28" w16cid:durableId="829446208">
    <w:abstractNumId w:val="1"/>
  </w:num>
  <w:num w:numId="29" w16cid:durableId="1646347498">
    <w:abstractNumId w:val="1"/>
  </w:num>
  <w:num w:numId="30" w16cid:durableId="741028774">
    <w:abstractNumId w:val="1"/>
  </w:num>
  <w:num w:numId="31" w16cid:durableId="1120614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51"/>
    <w:rsid w:val="00002F64"/>
    <w:rsid w:val="00532083"/>
    <w:rsid w:val="00787851"/>
    <w:rsid w:val="00A161C5"/>
    <w:rsid w:val="00D1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CE1D"/>
  <w15:docId w15:val="{A30C2B90-F5F6-4E89-B51F-066DA39E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Maureen Reardon</cp:lastModifiedBy>
  <cp:revision>1</cp:revision>
  <dcterms:created xsi:type="dcterms:W3CDTF">2025-09-07T12:09:00Z</dcterms:created>
  <dcterms:modified xsi:type="dcterms:W3CDTF">2025-09-07T14:59:00Z</dcterms:modified>
</cp:coreProperties>
</file>