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Germany: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Germany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DACH (Austria, Switzerland) + Nordics/Benelux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Germany.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Germany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Germany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Germany’s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Germany: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Germany.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Germany.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Germany: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Germany: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Germany.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Germany: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Germany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