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Italy: Phase 0–8 Prompt Stack (ChatGPT + Claude Code)</w:t>
      </w:r>
    </w:p>
    <w:p>
      <w:pPr>
        <w:jc w:val="center"/>
      </w:pPr>
      <w:r>
        <w:t>Country-specific prompt templates with variables pre-filled.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(pre-filled)</w:t>
      </w:r>
    </w:p>
    <w:p>
      <w:pPr>
        <w:pStyle w:val="CodeBlock"/>
      </w:pPr>
      <w:r>
        <w:rPr>
          <w:rFonts w:ascii="Consolas" w:hAnsi="Consolas"/>
          <w:sz w:val="20"/>
        </w:rPr>
        <w:t>COUNTRY = Italy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</w:t>
        <w:br/>
      </w:r>
      <w:r>
        <w:rPr>
          <w:rFonts w:ascii="Consolas" w:hAnsi="Consolas"/>
          <w:sz w:val="20"/>
        </w:rPr>
        <w:t>REGIONAL_COMPARATORS = Southern Europe (Spain, Portugal, Greece) + France/DACH</w:t>
        <w:br/>
      </w:r>
    </w:p>
    <w:p>
      <w:pPr>
        <w:pStyle w:val="Heading2"/>
      </w:pPr>
      <w:r>
        <w:t>Toggles (all set to true; change as needed)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CITE_SOURCES = true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think-tanks/academia;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date-stamp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non-public sensitive details.</w:t>
      </w:r>
    </w:p>
    <w:p>
      <w:pPr>
        <w:pStyle w:val="Heading2"/>
      </w:pPr>
      <w:r>
        <w:t>Quick Run Instructions</w:t>
      </w:r>
    </w:p>
    <w:p>
      <w:r>
        <w:t>1) Confirm variables/toggles. 2) Run Phase 0 → 8 sequentially; reuse outputs. 3) For Claude Code, request CSV/JSON where specified; save GraphML. 4) Compile a country pack: Exec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Italy.</w:t>
        <w:br/>
      </w:r>
      <w:r>
        <w:rPr>
          <w:rFonts w:ascii="Consolas" w:hAnsi="Consolas"/>
          <w:sz w:val="20"/>
        </w:rPr>
        <w:t>Deliver a 3-page max scoping brief that:</w:t>
        <w:br/>
      </w:r>
      <w:r>
        <w:rPr>
          <w:rFonts w:ascii="Consolas" w:hAnsi="Consolas"/>
          <w:sz w:val="20"/>
        </w:rPr>
        <w:t>- Positions Italy in advanced/emerging tech &amp; dual-use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foreign-interest vectors.</w:t>
        <w:br/>
      </w:r>
      <w:r>
        <w:rPr>
          <w:rFonts w:ascii="Consolas" w:hAnsi="Consolas"/>
          <w:sz w:val="20"/>
        </w:rPr>
        <w:t>- If INCLUDE_US_NATSEC_FRAMEWORK=true,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(8-dimension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Phase-0 dossier for Italy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YYYY-MM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Italy’s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dual-use spaces; public-private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Italy: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co-author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co-inventors’ countries.</w:t>
        <w:br/>
      </w:r>
      <w:r>
        <w:rPr>
          <w:rFonts w:ascii="Consolas" w:hAnsi="Consolas"/>
          <w:sz w:val="20"/>
        </w:rPr>
        <w:t>- News (3–5y): relevant research-security stories; include headline/date/outlet/link.</w:t>
        <w:br/>
      </w:r>
      <w:r>
        <w:rPr>
          <w:rFonts w:ascii="Consolas" w:hAnsi="Consolas"/>
          <w:sz w:val="20"/>
        </w:rPr>
        <w:t>Prioritize dual-use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API-ready query specs for each source for Italy.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entity-resolution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Phase-2 data, identify:</w:t>
        <w:br/>
      </w:r>
      <w:r>
        <w:rPr>
          <w:rFonts w:ascii="Consolas" w:hAnsi="Consolas"/>
          <w:sz w:val="20"/>
        </w:rPr>
        <w:t>- Top 20 researchers/institutions by output/impact in dual-use sectors in Italy.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Italy: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research-integrity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export-control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machine-readable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Italy: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red-flag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funder-recipient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Capacity-Building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Italy. For each:</w:t>
        <w:br/>
      </w:r>
      <w:r>
        <w:rPr>
          <w:rFonts w:ascii="Consolas" w:hAnsi="Consolas"/>
          <w:sz w:val="20"/>
        </w:rPr>
        <w:t>- Format (tabletop, workshop, red-team, procurement due-diligence lab, secure-by-design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12–18-month limited series) with partners.</w:t>
        <w:br/>
      </w:r>
      <w:r>
        <w:rPr>
          <w:rFonts w:ascii="Consolas" w:hAnsi="Consolas"/>
          <w:sz w:val="20"/>
        </w:rPr>
        <w:t>Return a 1-page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your own conclusions for Italy:</w:t>
        <w:br/>
      </w:r>
      <w:r>
        <w:rPr>
          <w:rFonts w:ascii="Consolas" w:hAnsi="Consolas"/>
          <w:sz w:val="20"/>
        </w:rPr>
        <w:t>- For each high-confidence claim, list falsifiers, counter-narratives,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Top-10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Italy at 2y/5y/10y:</w:t>
        <w:br/>
      </w:r>
      <w:r>
        <w:rPr>
          <w:rFonts w:ascii="Consolas" w:hAnsi="Consolas"/>
          <w:sz w:val="20"/>
        </w:rPr>
        <w:t>- Tech trajectories (dual-use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8-Dimension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