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40"/>
        <w:jc w:val="center"/>
      </w:pPr>
      <w:r>
        <w:rPr>
          <w:rFonts w:ascii="微软雅黑" w:hAnsi="微软雅黑" w:eastAsia="微软雅黑"/>
          <w:b/>
          <w:sz w:val="32"/>
        </w:rPr>
        <w:t>项目采购需求</w:t>
      </w:r>
    </w:p>
    <w:p>
      <w:pPr>
        <w:spacing w:after="40" w:before="40"/>
      </w:pPr>
      <w:r>
        <w:rPr>
          <w:rFonts w:ascii="微软雅黑" w:hAnsi="微软雅黑" w:eastAsia="微软雅黑"/>
          <w:b w:val="0"/>
          <w:sz w:val="21"/>
        </w:rPr>
        <w:t>说明：</w:t>
      </w:r>
    </w:p>
    <w:p>
      <w:pPr>
        <w:spacing w:after="40" w:before="40"/>
      </w:pPr>
      <w:r>
        <w:rPr>
          <w:rFonts w:ascii="微软雅黑" w:hAnsi="微软雅黑" w:eastAsia="微软雅黑"/>
          <w:b w:val="0"/>
          <w:sz w:val="21"/>
        </w:rPr>
        <w:t>1. 本需求表及商务要求中带有“▲”的技术参数或要求为实质性要求，必须满足，响应内容不得低于该技术指标或要求。</w:t>
      </w:r>
    </w:p>
    <w:p>
      <w:pPr>
        <w:spacing w:after="40" w:before="40"/>
      </w:pPr>
      <w:r>
        <w:rPr>
          <w:rFonts w:ascii="微软雅黑" w:hAnsi="微软雅黑" w:eastAsia="微软雅黑"/>
          <w:b w:val="0"/>
          <w:sz w:val="21"/>
        </w:rPr>
        <w:t>采购预算：________元（具体金额以采购公告 / 招标文件为准）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c>
          <w:tcPr>
            <w:tcW w:type="dxa" w:w="8305"/>
            <w:gridSpan w:val="5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2"/>
              </w:rPr>
              <w:t>一、采购标的技术参数及规格要求</w:t>
            </w:r>
          </w:p>
        </w:tc>
      </w:tr>
      <w:tr>
        <w:tc>
          <w:tcPr>
            <w:tcW w:type="dxa" w:w="510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序号</w:t>
            </w:r>
          </w:p>
        </w:tc>
        <w:tc>
          <w:tcPr>
            <w:tcW w:type="dxa" w:w="1701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标的名称</w:t>
            </w:r>
          </w:p>
        </w:tc>
        <w:tc>
          <w:tcPr>
            <w:tcW w:type="dxa" w:w="6009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技术参数及规格要求</w:t>
            </w:r>
          </w:p>
        </w:tc>
        <w:tc>
          <w:tcPr>
            <w:tcW w:type="dxa" w:w="680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数量</w:t>
            </w:r>
          </w:p>
        </w:tc>
        <w:tc>
          <w:tcPr>
            <w:tcW w:type="dxa" w:w="737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单位</w:t>
            </w:r>
          </w:p>
        </w:tc>
      </w:tr>
      <w:tr>
        <w:tc>
          <w:tcPr>
            <w:tcW w:type="dxa" w:w="510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1"/>
              </w:rPr>
              <w:t>1</w:t>
            </w:r>
          </w:p>
        </w:tc>
        <w:tc>
          <w:tcPr>
            <w:tcW w:type="dxa" w:w="1701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1"/>
              </w:rPr>
              <w:t>机器人集群智能调度系统运行支撑基础设施（调度一体工作站、双屏显示系统、监控摄像头、网络及布线，不含机器人本体）</w:t>
            </w:r>
          </w:p>
        </w:tc>
        <w:tc>
          <w:tcPr>
            <w:tcW w:type="dxa" w:w="6009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19"/>
              </w:rPr>
              <w:t>（以下按设备构成统一列项，带“▲”为实质性要求，必须满足）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1. 调度一体工作站（主机 / 显卡 / 存储）— 1 台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1.1 CPU：≥ 4 物理核心（x86-64 架构，主频 ≥ 2.0GHz）。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1.2 内存：≥ 16GB DDR4。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1.3 系统盘：≥ 256GB SSD。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1.4 数据盘：≥ 512GB SSD。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▲1.5 显卡：独立显卡，显存 ≥ 4GB（投标时提供原厂技术规格书）。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1.6 网络接口：≥ 1× 千兆以太网口。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▲1.7 视频输出：≥ 2× 视频接口（HDMI / DP），支持双屏 1920×1080 输出（投标时提供设备检测报告）。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1.8 机箱与电源：塔式或机架式机箱，含电源。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2. 显示系统（双屏）— 1 套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2.1 显示器数量：≥ 2 台。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▲2.2 分辨率：≥ 1920×1080（投标时提供设备检测报告）。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2.3 屏幕尺寸：≥ 24 英寸。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2.4 面板类型：IPS。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2.5 视频接口：≥ 1× HDMI + ≥ 1× DP。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2.6 安装配件：含支架或壁挂件及连接线缆。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3. 监控摄像头系统（实时查看）— 1 套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3.1 摄像机数量：4 台。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▲3.2 分辨率：≥ 1920×1080（投标时提供设备检测报告）。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3.3 传感器类型：≥ 1/2.8" CMOS 图像传感器。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3.4 镜头焦距：2.8mm–12mm 电动变焦。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3.5 视频接口：RJ45 10/100Mbps 以太网口。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3.6 视频编码：H.264 / H.265（硬件编码）。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▲3.7 供电方式：支持 PoE（IEEE 802.3af）或 DC 12V（投标时提供供电规格说明）。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▲3.8 防护等级：≥ IP66（投标时提供防护等级检测报告）。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▲3.9 工作温度范围：−10℃ ~ +50℃（投标时提供工作温度检测报告）。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3.10 外壳材质：铝合金或工程塑料。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3.11 安装接口：吸顶或壁装（含支架接口）。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3.12 红外补光：支持夜视（IR），补光距离 ≥ 10m。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4. 核心路由器 — 1 台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4.1 WAN 口：≥ 1× 千兆以太网口。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4.2 LAN 口：≥ 4× 千兆以太网口。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▲4.3 NAT 吞吐：≥ 1Gbps（投标时提供设备技术规格书）。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4.4 电源：外置电源适配器，DC 12V。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5. PoE 交换机 — 1 台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5.1 端口：≥ 8 口千兆以太网（含 PoE 口 ≥ 8）。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▲5.2 PoE 供电：符合 IEEE 802.3af（单口 ≥ 15.4W），整机 PoE 输出 ≥ 120W（投标时提供 PoE 供电规格说明）。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5.3 上联端口：≥ 1× 千兆 SFP / RJ45 上联。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5.4 交换容量：≥ 16Gbps。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5.5 电源：内置电源，AC 100–240V。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6. 无线接入点 AP — 3 台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6.1 无线标准：IEEE 802.11ax（WiFi 6）。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6.2 频段：2.4GHz + 5GHz 双频。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6.3 并发终端：≥ 50 台。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▲6.4 供电方式：支持 PoE（IEEE 802.3af）（投标时提供供电规格说明）。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6.5 覆盖半径：≥ 15m（空旷环境）。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6.6 安装方式：吸顶式，含安装件。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/>
                <w:sz w:val="21"/>
              </w:rPr>
              <w:t>7. 网络机柜及综合布线 — 1 套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7.1 机柜：9–12U 壁挂式网络机柜（≥ 450×400mm 深）。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7.2 线缆：六类非屏蔽双绞线（Cat6）及水晶头若干。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7.3 电源：机柜 PDU 电源插排 × 1。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0"/>
              </w:rPr>
              <w:t>7.4 布线：采用直连理线，不配置独立配线架。</w:t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8"/>
              </w:rPr>
            </w:r>
          </w:p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19"/>
              </w:rPr>
              <w:t>备注：以上参数为各设备基础硬件规格下限，供应商可超配但不得低于上述下限；各设备均须符合相关国家及行业标准。</w:t>
            </w:r>
          </w:p>
        </w:tc>
        <w:tc>
          <w:tcPr>
            <w:tcW w:type="dxa" w:w="680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1"/>
              </w:rPr>
              <w:t>1</w:t>
            </w:r>
          </w:p>
        </w:tc>
        <w:tc>
          <w:tcPr>
            <w:tcW w:type="dxa" w:w="737"/>
          </w:tcPr>
          <w:p/>
          <w:p>
            <w:pPr>
              <w:spacing w:after="40" w:before="40"/>
            </w:pPr>
            <w:r>
              <w:rPr>
                <w:rFonts w:ascii="微软雅黑" w:hAnsi="微软雅黑" w:eastAsia="微软雅黑"/>
                <w:b w:val="0"/>
                <w:sz w:val="21"/>
              </w:rPr>
              <w:t>项</w:t>
            </w:r>
          </w:p>
        </w:tc>
      </w:tr>
    </w:tbl>
    <w:p>
      <w:pPr>
        <w:spacing w:after="40" w:before="40"/>
      </w:pPr>
      <w:r>
        <w:rPr>
          <w:rFonts w:ascii="微软雅黑" w:hAnsi="微软雅黑" w:eastAsia="微软雅黑"/>
          <w:b w:val="0"/>
          <w:sz w:val="8"/>
        </w:rPr>
      </w:r>
    </w:p>
    <w:p>
      <w:pPr>
        <w:spacing w:before="120"/>
      </w:pPr>
      <w:r>
        <w:rPr>
          <w:rFonts w:ascii="微软雅黑" w:hAnsi="微软雅黑" w:eastAsia="微软雅黑"/>
          <w:b/>
          <w:sz w:val="22"/>
        </w:rPr>
        <w:t>▲二、商务要求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（一）实施要求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1、供应商须严格按照项目需求提供高质量的设备供货、安装调试与系统集成服务，确保系统按期投入运行。2、设备须与现有系统对接联调。3、供应商须制定详细的供货与安装实施方案，明确到货、上架、布线、联调、培训等阶段任务、时间节点及负责人，并定期向采购人汇报进度。4、供应商须指派一名项目经理全程负责项目协调与管理，并配备专业团队（网络工程师、系统集成工程师与现场实施人员）。5、未经采购人书面同意，供应商不得将项目分包或转包给第三方。6、项目成果的知识产权归采购人所有；项目实施涉及的系统配置、网络拓扑等信息不得泄露。7、系统建设须达到约定的并发调度指标，并完成全部设备供货、安装与联调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（二）服务要求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1、供应商须确保所有设备符合国家及行业标准，并提供原厂质保。2、供应商须保证其提供的设备不侵犯任何第三方的知识产权。3、供应商须提供专门的售后服务人员，系统运行问题及时解决；采购人提出服务请求后 24 小时内响应，重大故障 4 小时内现场处置。4、若供应商未按合同约定提供服务，采购人有权要求赔偿。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（三）付款及交付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1、付款条件：项目款项分两阶段支付——合同签订后支付 30% 作为首付款，项目验收合格后支付剩余 70%。2、交货时间和地点：主要设备须在合同签订后 2 个月内到货并完成安装调试；交货地点为采购人指定地点。3、采购方式：本项目按政府采购相关规定采用公开招标方式采购（或按采购人批准的采购方式执行）。4、验收标准：所有设备须符合本需求表及合同要求；采购人有权对不合格部分要求整改，直至验收通过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（四）核心产品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本标的中的"调度一体工作站"为核心产品。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（五）特殊说明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本项目不接受进口产品竞标，如竞标供应商采用进口产品竞标则作无效响应处理。</w:t>
      </w:r>
    </w:p>
    <w:p>
      <w:pPr>
        <w:spacing w:after="40"/>
      </w:pPr>
      <w:r>
        <w:rPr>
          <w:rFonts w:ascii="微软雅黑" w:hAnsi="微软雅黑" w:eastAsia="微软雅黑"/>
          <w:b/>
          <w:sz w:val="21"/>
        </w:rPr>
        <w:t>（六）其他说明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竞标供应商可结合项目实际提供技术方案、安装调试实施方案。</w:t>
      </w:r>
    </w:p>
    <w:p>
      <w:pPr>
        <w:spacing w:before="120"/>
      </w:pPr>
      <w:r>
        <w:rPr>
          <w:rFonts w:ascii="微软雅黑" w:hAnsi="微软雅黑" w:eastAsia="微软雅黑"/>
          <w:b/>
          <w:sz w:val="22"/>
        </w:rPr>
        <w:t>三、涉及项目的其他要求及说明</w:t>
      </w:r>
    </w:p>
    <w:p>
      <w:r>
        <w:rPr>
          <w:rFonts w:ascii="微软雅黑" w:hAnsi="微软雅黑" w:eastAsia="微软雅黑"/>
          <w:b w:val="0"/>
          <w:sz w:val="20"/>
        </w:rPr>
        <w:t>竞标供应商须结合现场实际情况，提供完整的设备清单、拓扑设计与安装调试方案；本需求未列明但为保障系统完整运行所必需的辅材（如电源线、理线器、固定件等），由供应商在投标方案中一并考虑，不单独计价。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