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4C0C4E">
      <w:pPr>
        <w:spacing w:before="240" w:after="240"/>
        <w:jc w:val="center"/>
      </w:pPr>
      <w:r>
        <w:rPr>
          <w:rFonts w:ascii="黑体" w:hAnsi="黑体" w:eastAsia="黑体"/>
          <w:b/>
          <w:sz w:val="32"/>
        </w:rPr>
        <w:t>DocAI 关键模块概要设计及创新点说明</w:t>
      </w:r>
    </w:p>
    <w:p w14:paraId="7F060AEB">
      <w:pPr>
        <w:spacing w:before="240" w:after="120"/>
      </w:pPr>
      <w:r>
        <w:rPr>
          <w:rFonts w:ascii="黑体" w:hAnsi="黑体" w:eastAsia="黑体"/>
          <w:b/>
          <w:sz w:val="28"/>
        </w:rPr>
        <w:t>一、系统概述</w:t>
      </w:r>
      <w:bookmarkStart w:id="0" w:name="_GoBack"/>
      <w:bookmarkEnd w:id="0"/>
    </w:p>
    <w:p w14:paraId="2EE85E7C">
      <w:pPr>
        <w:ind w:firstLine="480"/>
      </w:pPr>
      <w:r>
        <w:rPr>
          <w:rFonts w:ascii="楷体" w:hAnsi="楷体" w:eastAsia="楷体"/>
          <w:sz w:val="24"/>
        </w:rPr>
        <w:t>DocAI——基于大模型的智能文档信息提取与自动填表系统，围绕真实办公场景中的多源文档整理与模板填写需求，构建了从"原始材料输入"到"标准模板输出"的完整智能化处理闭环。系统采用前后端分离与微服务架构设计，后端由 Spring Cloud Gateway（网关）、user-service（用户认证）、file-service（文件管理）、ai-service（智能分析）等微服务组成；前端支持 Web 端（Vue 3 + Element Plus）、Qt 桌面客户端和微信小程序三端协同访问。</w:t>
      </w:r>
    </w:p>
    <w:p w14:paraId="1DAC024C">
      <w:pPr>
        <w:spacing w:before="240" w:after="120"/>
      </w:pPr>
      <w:r>
        <w:rPr>
          <w:rFonts w:ascii="黑体" w:hAnsi="黑体" w:eastAsia="黑体"/>
          <w:b/>
          <w:sz w:val="28"/>
        </w:rPr>
        <w:t>二、关键模块概要设计</w:t>
      </w:r>
    </w:p>
    <w:p w14:paraId="4FECFA8A">
      <w:pPr>
        <w:spacing w:before="120" w:after="120"/>
      </w:pPr>
      <w:r>
        <w:rPr>
          <w:rFonts w:ascii="楷体" w:hAnsi="楷体" w:eastAsia="楷体"/>
          <w:b/>
          <w:sz w:val="24"/>
        </w:rPr>
        <w:t>2.1 源文档结构化提取模块</w:t>
      </w:r>
    </w:p>
    <w:p w14:paraId="0BA9E19D">
      <w:pPr>
        <w:ind w:firstLine="480"/>
      </w:pPr>
      <w:r>
        <w:rPr>
          <w:rFonts w:ascii="楷体" w:hAnsi="楷体" w:eastAsia="楷体"/>
          <w:sz w:val="24"/>
        </w:rPr>
        <w:t>该模块是系统的数据入口，负责接收用户上传的多格式源文档（docx/xlsx/txt/md），并将其中的非结构化信息自动转换为标准化字段。</w:t>
      </w:r>
    </w:p>
    <w:p w14:paraId="588A88A3">
      <w:pPr>
        <w:ind w:firstLine="480"/>
      </w:pPr>
      <w:r>
        <w:rPr>
          <w:rFonts w:ascii="楷体" w:hAnsi="楷体" w:eastAsia="楷体"/>
          <w:b/>
          <w:sz w:val="24"/>
        </w:rPr>
        <w:t>设计要点：</w:t>
      </w:r>
    </w:p>
    <w:p w14:paraId="4BED6B3C">
      <w:pPr>
        <w:ind w:firstLine="480"/>
      </w:pPr>
      <w:r>
        <w:rPr>
          <w:rFonts w:ascii="楷体" w:hAnsi="楷体" w:eastAsia="楷体"/>
          <w:sz w:val="24"/>
        </w:rPr>
        <w:t>（1）多格式统一解析：根据文件类型选择对应解析器（Apache POI 处理 docx/xlsx，Files API 处理 txt/md），统一输出标准化文本内容；</w:t>
      </w:r>
    </w:p>
    <w:p w14:paraId="4AB5AD8A">
      <w:pPr>
        <w:ind w:firstLine="480"/>
      </w:pPr>
      <w:r>
        <w:rPr>
          <w:rFonts w:ascii="楷体" w:hAnsi="楷体" w:eastAsia="楷体"/>
          <w:sz w:val="24"/>
        </w:rPr>
        <w:t>（2）多模态联合提取：将文档文本、表格内容和内嵌图片（Base64 编码，最多 2 张）统一输入 Qwen2.5-VL-7B-Instruct 多模态视觉语言模型，由模型输出包含 fieldKey、fieldName、fieldValue、confidence、sourceText 的标准化 JSON 字段集合；</w:t>
      </w:r>
    </w:p>
    <w:p w14:paraId="133A1283">
      <w:pPr>
        <w:ind w:firstLine="480"/>
      </w:pPr>
      <w:r>
        <w:rPr>
          <w:rFonts w:ascii="楷体" w:hAnsi="楷体" w:eastAsia="楷体"/>
          <w:sz w:val="24"/>
        </w:rPr>
        <w:t>（3）异步预提取架构：采用"上传即返回、后台异步提取"模式，通过线程池控制并发、信号量限制 LLM 调用频率（1.5s 间隔），避免阻塞前端交互；</w:t>
      </w:r>
    </w:p>
    <w:p w14:paraId="3D8D0EAF">
      <w:pPr>
        <w:ind w:firstLine="480"/>
      </w:pPr>
      <w:r>
        <w:rPr>
          <w:rFonts w:ascii="楷体" w:hAnsi="楷体" w:eastAsia="楷体"/>
          <w:sz w:val="24"/>
        </w:rPr>
        <w:t>（4）规则兜底机制：当模型调用失败或超时时，自动切换为规则引擎，识别"键:值"结构、Markdown 表格和行内实体（手机号、邮箱、身份证号、金额等），保障基础提取能力。</w:t>
      </w:r>
    </w:p>
    <w:p w14:paraId="304923A9">
      <w:pPr>
        <w:spacing w:before="120" w:after="120"/>
      </w:pPr>
      <w:r>
        <w:rPr>
          <w:rFonts w:ascii="楷体" w:hAnsi="楷体" w:eastAsia="楷体"/>
          <w:b/>
          <w:sz w:val="24"/>
        </w:rPr>
        <w:t>2.2 字段标准化与别名归一模块</w:t>
      </w:r>
    </w:p>
    <w:p w14:paraId="280BE5D1">
      <w:pPr>
        <w:ind w:firstLine="480"/>
      </w:pPr>
      <w:r>
        <w:rPr>
          <w:rFonts w:ascii="楷体" w:hAnsi="楷体" w:eastAsia="楷体"/>
          <w:sz w:val="24"/>
        </w:rPr>
        <w:t>该模块负责将不同文档中语义相同但表达不同的字段统一映射为标准化字段键，消除字段名称不一致对后续匹配的影响。</w:t>
      </w:r>
    </w:p>
    <w:p w14:paraId="68BBD6F0">
      <w:pPr>
        <w:ind w:firstLine="480"/>
      </w:pPr>
      <w:r>
        <w:rPr>
          <w:rFonts w:ascii="楷体" w:hAnsi="楷体" w:eastAsia="楷体"/>
          <w:b/>
          <w:sz w:val="24"/>
        </w:rPr>
        <w:t>设计要点：</w:t>
      </w:r>
    </w:p>
    <w:p w14:paraId="4AF5178D">
      <w:pPr>
        <w:ind w:firstLine="480"/>
      </w:pPr>
      <w:r>
        <w:rPr>
          <w:rFonts w:ascii="楷体" w:hAnsi="楷体" w:eastAsia="楷体"/>
          <w:sz w:val="24"/>
        </w:rPr>
        <w:t>（1）字段名归一：依次尝试精确匹配、别名词典匹配（40+ 中文别名映射 30+ 标准键）和字符重叠匹配，将原始字段名映射为统一 fieldKey；</w:t>
      </w:r>
    </w:p>
    <w:p w14:paraId="48729E2D">
      <w:pPr>
        <w:ind w:firstLine="480"/>
      </w:pPr>
      <w:r>
        <w:rPr>
          <w:rFonts w:ascii="楷体" w:hAnsi="楷体" w:eastAsia="楷体"/>
          <w:sz w:val="24"/>
        </w:rPr>
        <w:t>（2）字段值格式化：日期统一为 YYYY-MM-DD 格式，电话统一为纯数字，金额统一为标准数值表示，全角半角统一处理；</w:t>
      </w:r>
    </w:p>
    <w:p w14:paraId="59DCEB19">
      <w:pPr>
        <w:ind w:firstLine="480"/>
      </w:pPr>
      <w:r>
        <w:rPr>
          <w:rFonts w:ascii="楷体" w:hAnsi="楷体" w:eastAsia="楷体"/>
          <w:sz w:val="24"/>
        </w:rPr>
        <w:t>（3）预去重机制：按（fieldKey, fieldName, fieldValue）三元组去重，保留置信度最高的提取结果。</w:t>
      </w:r>
    </w:p>
    <w:p w14:paraId="5A586A31">
      <w:pPr>
        <w:spacing w:before="120" w:after="120"/>
      </w:pPr>
      <w:r>
        <w:rPr>
          <w:rFonts w:ascii="楷体" w:hAnsi="楷体" w:eastAsia="楷体"/>
          <w:b/>
          <w:sz w:val="24"/>
        </w:rPr>
        <w:t>2.3 模板槽位识别与表头引导增强提取模块</w:t>
      </w:r>
    </w:p>
    <w:p w14:paraId="1A8AC2A6">
      <w:pPr>
        <w:ind w:firstLine="480"/>
      </w:pPr>
      <w:r>
        <w:rPr>
          <w:rFonts w:ascii="楷体" w:hAnsi="楷体" w:eastAsia="楷体"/>
          <w:sz w:val="24"/>
        </w:rPr>
        <w:t>该模块完全基于规则实现，不依赖大模型，负责从 Word 和 Excel 模板中精确定位待填写区域。</w:t>
      </w:r>
    </w:p>
    <w:p w14:paraId="1FE1DF05">
      <w:pPr>
        <w:ind w:firstLine="480"/>
      </w:pPr>
      <w:r>
        <w:rPr>
          <w:rFonts w:ascii="楷体" w:hAnsi="楷体" w:eastAsia="楷体"/>
          <w:b/>
          <w:sz w:val="24"/>
        </w:rPr>
        <w:t>设计要点：</w:t>
      </w:r>
    </w:p>
    <w:p w14:paraId="5E0EC6A6">
      <w:pPr>
        <w:ind w:firstLine="480"/>
      </w:pPr>
      <w:r>
        <w:rPr>
          <w:rFonts w:ascii="楷体" w:hAnsi="楷体" w:eastAsia="楷体"/>
          <w:sz w:val="24"/>
        </w:rPr>
        <w:t>（1）四类槽位识别规则：右空型（左标签右空白）、下空型（上标签下空白）、内联型（含"：____"占位符）、表头型（整行 50%+ 为标签且下方为空行）；</w:t>
      </w:r>
    </w:p>
    <w:p w14:paraId="76A50743">
      <w:pPr>
        <w:ind w:firstLine="480"/>
      </w:pPr>
      <w:r>
        <w:rPr>
          <w:rFonts w:ascii="楷体" w:hAnsi="楷体" w:eastAsia="楷体"/>
          <w:sz w:val="24"/>
        </w:rPr>
        <w:t>（2）表头引导增强提取：对字段池中缺失的槽位标签，以标签为搜索目标在源文档中定位上下文窗口（前后各 500 字符），通过规则或 LLM 完成二次精准提取；</w:t>
      </w:r>
    </w:p>
    <w:p w14:paraId="20B45360">
      <w:pPr>
        <w:ind w:firstLine="480"/>
      </w:pPr>
      <w:r>
        <w:rPr>
          <w:rFonts w:ascii="楷体" w:hAnsi="楷体" w:eastAsia="楷体"/>
          <w:sz w:val="24"/>
        </w:rPr>
        <w:t>（3）统一槽位对象：所有识别结果转换为标准 TemplateSlot 对象，记录位置、上下文和期望类型信息。</w:t>
      </w:r>
    </w:p>
    <w:p w14:paraId="0439ACFA">
      <w:pPr>
        <w:spacing w:before="120" w:after="120"/>
      </w:pPr>
      <w:r>
        <w:rPr>
          <w:rFonts w:ascii="楷体" w:hAnsi="楷体" w:eastAsia="楷体"/>
          <w:b/>
          <w:sz w:val="24"/>
        </w:rPr>
        <w:t>2.4 多维加权候选字段召回模块</w:t>
      </w:r>
    </w:p>
    <w:p w14:paraId="37400702">
      <w:pPr>
        <w:ind w:firstLine="480"/>
      </w:pPr>
      <w:r>
        <w:rPr>
          <w:rFonts w:ascii="楷体" w:hAnsi="楷体" w:eastAsia="楷体"/>
          <w:sz w:val="24"/>
        </w:rPr>
        <w:t>该模块为每个模板槽位从标准化字段池中召回最相关的候选字段，采用六维加权综合评分机制。</w:t>
      </w:r>
    </w:p>
    <w:p w14:paraId="65BB2033">
      <w:pPr>
        <w:ind w:firstLine="480"/>
      </w:pPr>
      <w:r>
        <w:rPr>
          <w:rFonts w:ascii="楷体" w:hAnsi="楷体" w:eastAsia="楷体"/>
          <w:b/>
          <w:sz w:val="24"/>
        </w:rPr>
        <w:t>评分公式：</w:t>
      </w:r>
    </w:p>
    <w:p w14:paraId="6E537B21">
      <w:r>
        <w:rPr>
          <w:rFonts w:ascii="楷体" w:hAnsi="楷体" w:eastAsia="楷体"/>
          <w:sz w:val="24"/>
        </w:rPr>
        <w:t>Score = 0.34×alias + 0.18×type + 0.16×vote + 0.10×context + 0.08×confidence + 0.14×requirement</w:t>
      </w:r>
    </w:p>
    <w:p w14:paraId="55C0A063">
      <w:pPr>
        <w:ind w:firstLine="480"/>
      </w:pPr>
      <w:r>
        <w:rPr>
          <w:rFonts w:ascii="楷体" w:hAnsi="楷体" w:eastAsia="楷体"/>
          <w:sz w:val="24"/>
        </w:rPr>
        <w:t>其中，alias 为别名匹配分（精确匹配 1.0/别名命中 0.9/模糊包含 0.5-0.7/字符重叠 0.4），type 为字段类型一致性分，vote 为多文档投票分（相同值跨文档重复出现的比例），context 为上下文匹配分，confidence 为原始提取置信度，requirement 为用户需求匹配分。系统还设置了交叉验证惩罚项，如数字槽位候选不含数字则降权。</w:t>
      </w:r>
    </w:p>
    <w:p w14:paraId="3454143F">
      <w:pPr>
        <w:spacing w:before="120" w:after="120"/>
      </w:pPr>
      <w:r>
        <w:rPr>
          <w:rFonts w:ascii="楷体" w:hAnsi="楷体" w:eastAsia="楷体"/>
          <w:b/>
          <w:sz w:val="24"/>
        </w:rPr>
        <w:t>2.5 规则—大模型协同决策与置信度融合模块</w:t>
      </w:r>
    </w:p>
    <w:p w14:paraId="34954810">
      <w:pPr>
        <w:ind w:firstLine="480"/>
      </w:pPr>
      <w:r>
        <w:rPr>
          <w:rFonts w:ascii="楷体" w:hAnsi="楷体" w:eastAsia="楷体"/>
          <w:sz w:val="24"/>
        </w:rPr>
        <w:t>该模块实现"规则优先、模型辅助"的分层决策机制，在保证效率的同时提升复杂场景下的准确率。</w:t>
      </w:r>
    </w:p>
    <w:p w14:paraId="6F3771FC">
      <w:pPr>
        <w:ind w:firstLine="480"/>
      </w:pPr>
      <w:r>
        <w:rPr>
          <w:rFonts w:ascii="楷体" w:hAnsi="楷体" w:eastAsia="楷体"/>
          <w:b/>
          <w:sz w:val="24"/>
        </w:rPr>
        <w:t>设计要点：</w:t>
      </w:r>
    </w:p>
    <w:p w14:paraId="475C6ED4">
      <w:pPr>
        <w:ind w:firstLine="480"/>
      </w:pPr>
      <w:r>
        <w:rPr>
          <w:rFonts w:ascii="楷体" w:hAnsi="楷体" w:eastAsia="楷体"/>
          <w:sz w:val="24"/>
        </w:rPr>
        <w:t>（1）难例触发条件：Top1 与 Top2 分差 &lt; 0.05 且候选值不同，或 Top1 分数 &lt; 0.30 且别名分 &lt; 0.2；</w:t>
      </w:r>
    </w:p>
    <w:p w14:paraId="371AAF01">
      <w:pPr>
        <w:ind w:firstLine="480"/>
      </w:pPr>
      <w:r>
        <w:rPr>
          <w:rFonts w:ascii="楷体" w:hAnsi="楷体" w:eastAsia="楷体"/>
          <w:sz w:val="24"/>
        </w:rPr>
        <w:t>（2）LLM 仲裁设计：仅向大模型传递槽位标签、上下文和 Top-K 候选集（非全量文档），将开放式生成转化为限定候选上的选择问题；</w:t>
      </w:r>
    </w:p>
    <w:p w14:paraId="13A1887D">
      <w:pPr>
        <w:ind w:firstLine="480"/>
      </w:pPr>
      <w:r>
        <w:rPr>
          <w:rFonts w:ascii="楷体" w:hAnsi="楷体" w:eastAsia="楷体"/>
          <w:sz w:val="24"/>
        </w:rPr>
        <w:t>（3）置信度融合：调用 LLM 时，final_conf = 0.4×rule_score + 0.6×model_conf；未调用时，final_conf = rule_score；</w:t>
      </w:r>
    </w:p>
    <w:p w14:paraId="0B0FB2FC">
      <w:pPr>
        <w:ind w:firstLine="480"/>
      </w:pPr>
      <w:r>
        <w:rPr>
          <w:rFonts w:ascii="楷体" w:hAnsi="楷体" w:eastAsia="楷体"/>
          <w:sz w:val="24"/>
        </w:rPr>
        <w:t>（4）分级决策阈值：≥ 0.70 直接填写；0.05-0.70 填写但标记待复核；&lt; 0.05 拒填保留空白。</w:t>
      </w:r>
    </w:p>
    <w:p w14:paraId="357A2E92">
      <w:pPr>
        <w:spacing w:before="120" w:after="120"/>
      </w:pPr>
      <w:r>
        <w:rPr>
          <w:rFonts w:ascii="楷体" w:hAnsi="楷体" w:eastAsia="楷体"/>
          <w:b/>
          <w:sz w:val="24"/>
        </w:rPr>
        <w:t>2.6 模板写回与审计追溯模块</w:t>
      </w:r>
    </w:p>
    <w:p w14:paraId="7780C4CB">
      <w:pPr>
        <w:ind w:firstLine="480"/>
      </w:pPr>
      <w:r>
        <w:rPr>
          <w:rFonts w:ascii="楷体" w:hAnsi="楷体" w:eastAsia="楷体"/>
          <w:sz w:val="24"/>
        </w:rPr>
        <w:t>该模块负责将最终决策结果精确写入模板文件，并生成全链路审计日志。</w:t>
      </w:r>
    </w:p>
    <w:p w14:paraId="27DCEE5D">
      <w:pPr>
        <w:ind w:firstLine="480"/>
      </w:pPr>
      <w:r>
        <w:rPr>
          <w:rFonts w:ascii="楷体" w:hAnsi="楷体" w:eastAsia="楷体"/>
          <w:b/>
          <w:sz w:val="24"/>
        </w:rPr>
        <w:t>设计要点：</w:t>
      </w:r>
    </w:p>
    <w:p w14:paraId="4C63D5EF">
      <w:pPr>
        <w:ind w:firstLine="480"/>
      </w:pPr>
      <w:r>
        <w:rPr>
          <w:rFonts w:ascii="楷体" w:hAnsi="楷体" w:eastAsia="楷体"/>
          <w:sz w:val="24"/>
        </w:rPr>
        <w:t>（1）directTableCopy 快速路径：对 Excel 表头型槽位，直接匹配源 Excel 表头并批量复制数据行，38000+ 行去重后约 4500 行可在约 5 秒内完成写回；</w:t>
      </w:r>
    </w:p>
    <w:p w14:paraId="21052048">
      <w:pPr>
        <w:ind w:firstLine="480"/>
      </w:pPr>
      <w:r>
        <w:rPr>
          <w:rFonts w:ascii="楷体" w:hAnsi="楷体" w:eastAsia="楷体"/>
          <w:sz w:val="24"/>
        </w:rPr>
        <w:t>（2）Word 局部替换策略：对内联型槽位仅替换冒号后的值区域，保留原有 Run 级格式和版式不变；</w:t>
      </w:r>
    </w:p>
    <w:p w14:paraId="25776431">
      <w:pPr>
        <w:ind w:firstLine="480"/>
      </w:pPr>
      <w:r>
        <w:rPr>
          <w:rFonts w:ascii="楷体" w:hAnsi="楷体" w:eastAsia="楷体"/>
          <w:sz w:val="24"/>
        </w:rPr>
        <w:t>（3）审计日志：每个填入字段生成完整审计记录，包括最终值、来源文档、来源原文、候选摘要、决策模式、置信度和决策理由。</w:t>
      </w:r>
    </w:p>
    <w:p w14:paraId="7D8DD4E0">
      <w:pPr>
        <w:spacing w:before="120" w:after="120"/>
      </w:pPr>
      <w:r>
        <w:rPr>
          <w:rFonts w:ascii="楷体" w:hAnsi="楷体" w:eastAsia="楷体"/>
          <w:b/>
          <w:sz w:val="24"/>
        </w:rPr>
        <w:t>2.7 AI 对话与文档辅助问答模块</w:t>
      </w:r>
    </w:p>
    <w:p w14:paraId="24CD4FF4">
      <w:pPr>
        <w:ind w:firstLine="480"/>
      </w:pPr>
      <w:r>
        <w:rPr>
          <w:rFonts w:ascii="楷体" w:hAnsi="楷体" w:eastAsia="楷体"/>
          <w:sz w:val="24"/>
        </w:rPr>
        <w:t>该模块支持用户通过自然语言与系统进行多轮对话，可围绕文档内容、填表结果或通用问题进行追问和校核。</w:t>
      </w:r>
    </w:p>
    <w:p w14:paraId="28982726">
      <w:pPr>
        <w:ind w:firstLine="480"/>
      </w:pPr>
      <w:r>
        <w:rPr>
          <w:rFonts w:ascii="楷体" w:hAnsi="楷体" w:eastAsia="楷体"/>
          <w:b/>
          <w:sz w:val="24"/>
        </w:rPr>
        <w:t>设计要点：</w:t>
      </w:r>
    </w:p>
    <w:p w14:paraId="5D46880D">
      <w:pPr>
        <w:ind w:firstLine="480"/>
      </w:pPr>
      <w:r>
        <w:rPr>
          <w:rFonts w:ascii="楷体" w:hAnsi="楷体" w:eastAsia="楷体"/>
          <w:sz w:val="24"/>
        </w:rPr>
        <w:t>（1）SSE 流式响应：基于 Server-Sent Events 实现逐字流式输出，提升交互体验；</w:t>
      </w:r>
    </w:p>
    <w:p w14:paraId="4E174873">
      <w:pPr>
        <w:ind w:firstLine="480"/>
      </w:pPr>
      <w:r>
        <w:rPr>
          <w:rFonts w:ascii="楷体" w:hAnsi="楷体" w:eastAsia="楷体"/>
          <w:sz w:val="24"/>
        </w:rPr>
        <w:t>（2）9 种快捷命令：内容摘要/信息提取/润色优化/格式调整/数据分析/删除冗余/内容补充/翻译/导出结果；</w:t>
      </w:r>
    </w:p>
    <w:p w14:paraId="36F0CA3B">
      <w:pPr>
        <w:ind w:firstLine="480"/>
      </w:pPr>
      <w:r>
        <w:rPr>
          <w:rFonts w:ascii="楷体" w:hAnsi="楷体" w:eastAsia="楷体"/>
          <w:sz w:val="24"/>
        </w:rPr>
        <w:t>（3）AI 在线编辑：检测 12 个编辑意图关键词（修改/编辑/删除/增加/替换/润色等），自动生成修改后完整文档并保存为 Word/TXT/Markdown 格式；</w:t>
      </w:r>
    </w:p>
    <w:p w14:paraId="5BE35250">
      <w:pPr>
        <w:ind w:firstLine="480"/>
      </w:pPr>
      <w:r>
        <w:rPr>
          <w:rFonts w:ascii="楷体" w:hAnsi="楷体" w:eastAsia="楷体"/>
          <w:sz w:val="24"/>
        </w:rPr>
        <w:t>（4）模型热切换：支持在 qwen-plus、qwen-turbo、DeepSeek 等模型间实时切换。</w:t>
      </w:r>
    </w:p>
    <w:p w14:paraId="1BC7AF78">
      <w:pPr>
        <w:spacing w:before="240" w:after="120"/>
      </w:pPr>
      <w:r>
        <w:rPr>
          <w:rFonts w:ascii="黑体" w:hAnsi="黑体" w:eastAsia="黑体"/>
          <w:b/>
          <w:sz w:val="28"/>
        </w:rPr>
        <w:t>三、创新点说明</w:t>
      </w:r>
    </w:p>
    <w:p w14:paraId="6D5BF275">
      <w:pPr>
        <w:spacing w:before="120" w:after="120"/>
      </w:pPr>
      <w:r>
        <w:rPr>
          <w:rFonts w:ascii="楷体" w:hAnsi="楷体" w:eastAsia="楷体"/>
          <w:b/>
          <w:sz w:val="24"/>
        </w:rPr>
        <w:t>创新点一：源文档预提取与模板实时匹配的双阶段解耦架构（功能创新）</w:t>
      </w:r>
    </w:p>
    <w:p w14:paraId="6477A1AD">
      <w:pPr>
        <w:ind w:firstLine="480"/>
      </w:pPr>
      <w:r>
        <w:rPr>
          <w:rFonts w:ascii="楷体" w:hAnsi="楷体" w:eastAsia="楷体"/>
          <w:sz w:val="24"/>
        </w:rPr>
        <w:t>传统文档自动填表方案通常采用同步处理模式：用户上传模板后，系统需要同步读取源文档、调用大模型提取信息、执行匹配决策并完成填充，整个过程串行执行，导致响应时间随源文档数量和复杂度线性增长。例如，处理 3 份源文档时，仅提取阶段就需要约 90 秒（30 秒/份），加上填充过程总耗时可能超过 3 分钟。</w:t>
      </w:r>
    </w:p>
    <w:p w14:paraId="1B4C462E">
      <w:pPr>
        <w:ind w:firstLine="480"/>
      </w:pPr>
      <w:r>
        <w:rPr>
          <w:rFonts w:ascii="楷体" w:hAnsi="楷体" w:eastAsia="楷体"/>
          <w:sz w:val="24"/>
        </w:rPr>
        <w:t>本系统将信息提取与模板填充解耦为两个独立阶段：</w:t>
      </w:r>
    </w:p>
    <w:p w14:paraId="70C050BF">
      <w:pPr>
        <w:ind w:firstLine="480"/>
      </w:pPr>
      <w:r>
        <w:rPr>
          <w:rFonts w:ascii="楷体" w:hAnsi="楷体" w:eastAsia="楷体"/>
          <w:sz w:val="24"/>
        </w:rPr>
        <w:t>第一阶段（源文档预提取）：用户上传源文档后立即返回（&lt; 0.5 秒），后台异步执行 LLM 结构化提取，完成后字段沉淀到数据库中。该阶段与用户后续操作完全并行，不占用模板填充时间。</w:t>
      </w:r>
    </w:p>
    <w:p w14:paraId="06FFFF5A">
      <w:pPr>
        <w:ind w:firstLine="480"/>
      </w:pPr>
      <w:r>
        <w:rPr>
          <w:rFonts w:ascii="楷体" w:hAnsi="楷体" w:eastAsia="楷体"/>
          <w:sz w:val="24"/>
        </w:rPr>
        <w:t>第二阶段（模板实时匹配）：用户上传模板后，系统直接从已有字段池中执行毫秒级候选检索和规则匹配，仅少量难例调用 LLM，典型场景下 20 秒内即可完成填充。</w:t>
      </w:r>
    </w:p>
    <w:p w14:paraId="449C321D">
      <w:pPr>
        <w:ind w:firstLine="480"/>
      </w:pPr>
      <w:r>
        <w:rPr>
          <w:rFonts w:ascii="楷体" w:hAnsi="楷体" w:eastAsia="楷体"/>
          <w:sz w:val="24"/>
        </w:rPr>
        <w:t>核心优势：模板填充不再需要重新读取和理解源文档，响应时间从分钟级降至秒级；字段池可被多个模板反复复用，支持批量填充场景；两阶段各自独立优化，架构清晰可扩展。</w:t>
      </w:r>
    </w:p>
    <w:p w14:paraId="1FB6B2E1">
      <w:pPr>
        <w:spacing w:before="120" w:after="120"/>
      </w:pPr>
      <w:r>
        <w:rPr>
          <w:rFonts w:ascii="楷体" w:hAnsi="楷体" w:eastAsia="楷体"/>
          <w:b/>
          <w:sz w:val="24"/>
        </w:rPr>
        <w:t>创新点二：规则优先、模型辅助的多级混合决策引擎（算法创新）</w:t>
      </w:r>
    </w:p>
    <w:p w14:paraId="44134225">
      <w:pPr>
        <w:ind w:firstLine="480"/>
      </w:pPr>
      <w:r>
        <w:rPr>
          <w:rFonts w:ascii="楷体" w:hAnsi="楷体" w:eastAsia="楷体"/>
          <w:sz w:val="24"/>
        </w:rPr>
        <w:t>纯大模型方案将所有字段匹配决策都交给 LLM，存在三个主要问题：一是成本高（40 个字段 × 每次调用 ≈ 40 次 API 调用），二是速度慢（40 字段 × 2 秒/字段 ≈ 80 秒），三是存在幻觉风险导致准确率不稳定。</w:t>
      </w:r>
    </w:p>
    <w:p w14:paraId="6DAD1937">
      <w:pPr>
        <w:ind w:firstLine="480"/>
      </w:pPr>
      <w:r>
        <w:rPr>
          <w:rFonts w:ascii="楷体" w:hAnsi="楷体" w:eastAsia="楷体"/>
          <w:sz w:val="24"/>
        </w:rPr>
        <w:t>本系统构建了由五维加权候选召回（别名匹配 0.34 + 类型匹配 0.18 + 多文档投票 0.16 + 上下文匹配 0.10 + 原始置信度 0.08 + 用户需求 0.14）、规则快速决策、LLM 难例仲裁和置信度融合组成的多层决策体系。具体而言：</w:t>
      </w:r>
    </w:p>
    <w:p w14:paraId="50F7DFD3">
      <w:pPr>
        <w:ind w:firstLine="480"/>
      </w:pPr>
      <w:r>
        <w:rPr>
          <w:rFonts w:ascii="楷体" w:hAnsi="楷体" w:eastAsia="楷体"/>
          <w:sz w:val="24"/>
        </w:rPr>
        <w:t>Tier 1 — 规则快速决策（覆盖 90%+ 字段）：通过别名精确匹配、类型过滤、多文档投票和置信度门槛直接完成毫秒级决策。</w:t>
      </w:r>
    </w:p>
    <w:p w14:paraId="07749601">
      <w:pPr>
        <w:ind w:firstLine="480"/>
      </w:pPr>
      <w:r>
        <w:rPr>
          <w:rFonts w:ascii="楷体" w:hAnsi="楷体" w:eastAsia="楷体"/>
          <w:sz w:val="24"/>
        </w:rPr>
        <w:t>Tier 2 — LLM 仲裁（仅约 10% 难例）：当 Top1 与 Top2 分差 &lt; 0.05 或最高分 &lt; 0.30 时触发，LLM 从 Top-5 候选中选择最合理结果。</w:t>
      </w:r>
    </w:p>
    <w:p w14:paraId="45708C0C">
      <w:pPr>
        <w:ind w:firstLine="480"/>
      </w:pPr>
      <w:r>
        <w:rPr>
          <w:rFonts w:ascii="楷体" w:hAnsi="楷体" w:eastAsia="楷体"/>
          <w:sz w:val="24"/>
        </w:rPr>
        <w:t>Tier 3 — 拒填保护：最终置信度 &lt; 0.05 时保留空白，"宁可拒填也不错填"。</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tblGrid>
      <w:tr w14:paraId="62650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2F3"/>
          </w:tcPr>
          <w:p w14:paraId="307D78B2">
            <w:r>
              <w:rPr>
                <w:rFonts w:ascii="楷体" w:hAnsi="楷体" w:eastAsia="楷体"/>
                <w:b/>
                <w:sz w:val="21"/>
              </w:rPr>
              <w:t>对比项</w:t>
            </w:r>
          </w:p>
        </w:tc>
        <w:tc>
          <w:tcPr>
            <w:tcW w:w="2268" w:type="dxa"/>
            <w:shd w:val="clear" w:color="auto" w:fill="D9E2F3"/>
          </w:tcPr>
          <w:p w14:paraId="0727FD95">
            <w:r>
              <w:rPr>
                <w:rFonts w:ascii="楷体" w:hAnsi="楷体" w:eastAsia="楷体"/>
                <w:b/>
                <w:sz w:val="21"/>
              </w:rPr>
              <w:t>纯 LLM 方案</w:t>
            </w:r>
          </w:p>
        </w:tc>
        <w:tc>
          <w:tcPr>
            <w:tcW w:w="2268" w:type="dxa"/>
            <w:shd w:val="clear" w:color="auto" w:fill="D9E2F3"/>
          </w:tcPr>
          <w:p w14:paraId="042F9A84">
            <w:r>
              <w:rPr>
                <w:rFonts w:ascii="楷体" w:hAnsi="楷体" w:eastAsia="楷体"/>
                <w:b/>
                <w:sz w:val="21"/>
              </w:rPr>
              <w:t>DocAI 混合方案</w:t>
            </w:r>
          </w:p>
        </w:tc>
      </w:tr>
      <w:tr w14:paraId="7312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5B4C468">
            <w:r>
              <w:rPr>
                <w:rFonts w:ascii="楷体" w:hAnsi="楷体" w:eastAsia="楷体"/>
                <w:sz w:val="21"/>
              </w:rPr>
              <w:t>API 调用/份</w:t>
            </w:r>
          </w:p>
        </w:tc>
        <w:tc>
          <w:tcPr>
            <w:tcW w:w="2268" w:type="dxa"/>
          </w:tcPr>
          <w:p w14:paraId="2FC84A36">
            <w:r>
              <w:rPr>
                <w:rFonts w:ascii="楷体" w:hAnsi="楷体" w:eastAsia="楷体"/>
                <w:sz w:val="21"/>
              </w:rPr>
              <w:t>40+</w:t>
            </w:r>
          </w:p>
        </w:tc>
        <w:tc>
          <w:tcPr>
            <w:tcW w:w="2268" w:type="dxa"/>
          </w:tcPr>
          <w:p w14:paraId="0657522A">
            <w:r>
              <w:rPr>
                <w:rFonts w:ascii="楷体" w:hAnsi="楷体" w:eastAsia="楷体"/>
                <w:sz w:val="21"/>
              </w:rPr>
              <w:t>约 4</w:t>
            </w:r>
          </w:p>
        </w:tc>
      </w:tr>
      <w:tr w14:paraId="55614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88CD8B8">
            <w:r>
              <w:rPr>
                <w:rFonts w:ascii="楷体" w:hAnsi="楷体" w:eastAsia="楷体"/>
                <w:sz w:val="21"/>
              </w:rPr>
              <w:t>成本</w:t>
            </w:r>
          </w:p>
        </w:tc>
        <w:tc>
          <w:tcPr>
            <w:tcW w:w="2268" w:type="dxa"/>
          </w:tcPr>
          <w:p w14:paraId="060AEBBE">
            <w:r>
              <w:rPr>
                <w:rFonts w:ascii="楷体" w:hAnsi="楷体" w:eastAsia="楷体"/>
                <w:sz w:val="21"/>
              </w:rPr>
              <w:t>基准</w:t>
            </w:r>
          </w:p>
        </w:tc>
        <w:tc>
          <w:tcPr>
            <w:tcW w:w="2268" w:type="dxa"/>
          </w:tcPr>
          <w:p w14:paraId="15854398">
            <w:r>
              <w:rPr>
                <w:rFonts w:ascii="楷体" w:hAnsi="楷体" w:eastAsia="楷体"/>
                <w:sz w:val="21"/>
              </w:rPr>
              <w:t>降低 90%</w:t>
            </w:r>
          </w:p>
        </w:tc>
      </w:tr>
      <w:tr w14:paraId="2CE89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D3A0178">
            <w:r>
              <w:rPr>
                <w:rFonts w:ascii="楷体" w:hAnsi="楷体" w:eastAsia="楷体"/>
                <w:sz w:val="21"/>
              </w:rPr>
              <w:t>响应时间</w:t>
            </w:r>
          </w:p>
        </w:tc>
        <w:tc>
          <w:tcPr>
            <w:tcW w:w="2268" w:type="dxa"/>
          </w:tcPr>
          <w:p w14:paraId="0219F6ED">
            <w:r>
              <w:rPr>
                <w:rFonts w:ascii="楷体" w:hAnsi="楷体" w:eastAsia="楷体"/>
                <w:sz w:val="21"/>
              </w:rPr>
              <w:t>约 80 秒</w:t>
            </w:r>
          </w:p>
        </w:tc>
        <w:tc>
          <w:tcPr>
            <w:tcW w:w="2268" w:type="dxa"/>
          </w:tcPr>
          <w:p w14:paraId="797E9D4F">
            <w:r>
              <w:rPr>
                <w:rFonts w:ascii="楷体" w:hAnsi="楷体" w:eastAsia="楷体"/>
                <w:sz w:val="21"/>
              </w:rPr>
              <w:t>约 20 秒</w:t>
            </w:r>
          </w:p>
        </w:tc>
      </w:tr>
      <w:tr w14:paraId="27EB5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3EF472D4">
            <w:r>
              <w:rPr>
                <w:rFonts w:ascii="楷体" w:hAnsi="楷体" w:eastAsia="楷体"/>
                <w:sz w:val="21"/>
              </w:rPr>
              <w:t>准确率</w:t>
            </w:r>
          </w:p>
        </w:tc>
        <w:tc>
          <w:tcPr>
            <w:tcW w:w="2268" w:type="dxa"/>
          </w:tcPr>
          <w:p w14:paraId="6F0F3797">
            <w:r>
              <w:rPr>
                <w:rFonts w:ascii="楷体" w:hAnsi="楷体" w:eastAsia="楷体"/>
                <w:sz w:val="21"/>
              </w:rPr>
              <w:t>约 88%</w:t>
            </w:r>
          </w:p>
        </w:tc>
        <w:tc>
          <w:tcPr>
            <w:tcW w:w="2268" w:type="dxa"/>
          </w:tcPr>
          <w:p w14:paraId="03CBAC84">
            <w:r>
              <w:rPr>
                <w:rFonts w:ascii="楷体" w:hAnsi="楷体" w:eastAsia="楷体"/>
                <w:sz w:val="21"/>
              </w:rPr>
              <w:t>&gt; 90%</w:t>
            </w:r>
          </w:p>
        </w:tc>
      </w:tr>
      <w:tr w14:paraId="1BF52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14585D4">
            <w:r>
              <w:rPr>
                <w:rFonts w:ascii="楷体" w:hAnsi="楷体" w:eastAsia="楷体"/>
                <w:sz w:val="21"/>
              </w:rPr>
              <w:t>可解释性</w:t>
            </w:r>
          </w:p>
        </w:tc>
        <w:tc>
          <w:tcPr>
            <w:tcW w:w="2268" w:type="dxa"/>
          </w:tcPr>
          <w:p w14:paraId="2B14A40A">
            <w:r>
              <w:rPr>
                <w:rFonts w:ascii="楷体" w:hAnsi="楷体" w:eastAsia="楷体"/>
                <w:sz w:val="21"/>
              </w:rPr>
              <w:t>黑盒</w:t>
            </w:r>
          </w:p>
        </w:tc>
        <w:tc>
          <w:tcPr>
            <w:tcW w:w="2268" w:type="dxa"/>
          </w:tcPr>
          <w:p w14:paraId="3A843413">
            <w:r>
              <w:rPr>
                <w:rFonts w:ascii="楷体" w:hAnsi="楷体" w:eastAsia="楷体"/>
                <w:sz w:val="21"/>
              </w:rPr>
              <w:t>白盒 + 审计</w:t>
            </w:r>
          </w:p>
        </w:tc>
      </w:tr>
    </w:tbl>
    <w:p w14:paraId="7377968C">
      <w:pPr>
        <w:spacing w:before="120" w:after="120"/>
      </w:pPr>
      <w:r>
        <w:rPr>
          <w:rFonts w:ascii="楷体" w:hAnsi="楷体" w:eastAsia="楷体"/>
          <w:b/>
          <w:sz w:val="24"/>
        </w:rPr>
        <w:t>创新点三：多模态视觉语言模型驱动的文档全要素提取（技术创新）</w:t>
      </w:r>
    </w:p>
    <w:p w14:paraId="67FE9549">
      <w:pPr>
        <w:ind w:firstLine="480"/>
      </w:pPr>
      <w:r>
        <w:rPr>
          <w:rFonts w:ascii="楷体" w:hAnsi="楷体" w:eastAsia="楷体"/>
          <w:sz w:val="24"/>
        </w:rPr>
        <w:t>传统文档处理方案大多仅支持纯文本 OCR 或规则抽取，对文档中的嵌入图片、截图说明、图文混排内容和复杂表格支持有限。当用户上传的 Word 文档中包含盖章扫描图、统计图表或表格截图时，传统方案无法识别这些视觉信息中的关键字段，导致提取结果不完整。</w:t>
      </w:r>
    </w:p>
    <w:p w14:paraId="69F06250">
      <w:pPr>
        <w:ind w:firstLine="480"/>
      </w:pPr>
      <w:r>
        <w:rPr>
          <w:rFonts w:ascii="楷体" w:hAnsi="楷体" w:eastAsia="楷体"/>
          <w:sz w:val="24"/>
        </w:rPr>
        <w:t>本系统集成 Qwen2.5-VL-7B-Instruct 多模态视觉语言模型（7B 参数量），在统一处理流程中同时理解文字、表格和嵌入图片。具体流程为：</w:t>
      </w:r>
    </w:p>
    <w:p w14:paraId="2F3635BD">
      <w:pPr>
        <w:ind w:firstLine="480"/>
      </w:pPr>
      <w:r>
        <w:rPr>
          <w:rFonts w:ascii="楷体" w:hAnsi="楷体" w:eastAsia="楷体"/>
          <w:sz w:val="24"/>
        </w:rPr>
        <w:t>（1）文本内容 → Apache POI 提取段落和表格文本 → 纯文本流；</w:t>
      </w:r>
    </w:p>
    <w:p w14:paraId="1CFF5811">
      <w:pPr>
        <w:ind w:firstLine="480"/>
      </w:pPr>
      <w:r>
        <w:rPr>
          <w:rFonts w:ascii="楷体" w:hAnsi="楷体" w:eastAsia="楷体"/>
          <w:sz w:val="24"/>
        </w:rPr>
        <w:t>（2）内嵌图片 → 自动提取（最多 2 张，跳过 &lt; 1KB 的小图） → Base64 编码 → 视觉流；</w:t>
      </w:r>
    </w:p>
    <w:p w14:paraId="77F8D7DB">
      <w:pPr>
        <w:ind w:firstLine="480"/>
      </w:pPr>
      <w:r>
        <w:rPr>
          <w:rFonts w:ascii="楷体" w:hAnsi="楷体" w:eastAsia="楷体"/>
          <w:sz w:val="24"/>
        </w:rPr>
        <w:t>（3）表格内容 → 逐行拼接为"键：值"文本 → 结构化流；</w:t>
      </w:r>
    </w:p>
    <w:p w14:paraId="59D4E5C3">
      <w:pPr>
        <w:ind w:firstLine="480"/>
      </w:pPr>
      <w:r>
        <w:rPr>
          <w:rFonts w:ascii="楷体" w:hAnsi="楷体" w:eastAsia="楷体"/>
          <w:sz w:val="24"/>
        </w:rPr>
        <w:t>三路信息统一送入 VL 模型，模型同时理解图文关联，输出包含图片识别结果在内的 40+ 结构化字段。</w:t>
      </w:r>
    </w:p>
    <w:p w14:paraId="21001378">
      <w:pPr>
        <w:ind w:firstLine="480"/>
      </w:pPr>
      <w:r>
        <w:rPr>
          <w:rFonts w:ascii="楷体" w:hAnsi="楷体" w:eastAsia="楷体"/>
          <w:sz w:val="24"/>
        </w:rPr>
        <w:t>核心优势：突破了"只能处理文本层信息"的局限，实现图文混排文档的全要素提取；VL 模型可识别图片中的表格数据、OCR 图片文字、理解图表和流程图、关联图文上下文信息；相比传统 OCR 竞品，信息完整率提升约 20%，减少人工干预 50% 以上。</w:t>
      </w:r>
    </w:p>
    <w:p w14:paraId="11EF2CB6">
      <w:pPr>
        <w:ind w:firstLine="480"/>
      </w:pPr>
      <w:r>
        <w:rPr>
          <w:rFonts w:ascii="楷体" w:hAnsi="楷体" w:eastAsia="楷体"/>
          <w:sz w:val="24"/>
        </w:rPr>
        <w:t>本系统进一步采用 QLoRA 方法对 Qwen2.5-VL-7B-Instruct 进行领域微调，使用 2633 条标注数据（合同+报告+票据），在 Apple M5 Max 48GB 平台上完成训练。微调后模型的结构化输出规范性和格式一致性显著提升，并有效缓解了原始模型的重复输出问题。</w:t>
      </w:r>
    </w:p>
    <w:sectPr>
      <w:pgSz w:w="11906" w:h="16838"/>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5611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楷体" w:hAnsi="楷体" w:eastAsia="楷体" w:cstheme="minorBidi"/>
      <w:color w:val="000000"/>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2660</Words>
  <Characters>3315</Characters>
  <Lines>0</Lines>
  <Paragraphs>0</Paragraphs>
  <TotalTime>3</TotalTime>
  <ScaleCrop>false</ScaleCrop>
  <LinksUpToDate>false</LinksUpToDate>
  <CharactersWithSpaces>3531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戴认文</cp:lastModifiedBy>
  <dcterms:modified xsi:type="dcterms:W3CDTF">2026-04-19T09:23:24Z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eyJoZGlkIjoiOTE4Mzk2YjliNTc0M2Q5NTQwNjc5MmQxYThhYjkyNTciLCJ1c2VySWQiOiIxNjIwNzU1MTk1In0=</vt:lpwstr>
  </property>
  <property fmtid="{D5CDD505-2E9C-101B-9397-08002B2CF9AE}" pid="3" name="KSOProductBuildVer">
    <vt:lpwstr>2052-12.1.0.23542</vt:lpwstr>
  </property>
  <property fmtid="{D5CDD505-2E9C-101B-9397-08002B2CF9AE}" pid="4" name="ICV">
    <vt:lpwstr>739E7E1EF3F244A09D23144B576109C3_12</vt:lpwstr>
  </property>
</Properties>
</file>