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360" w:before="0" w:after="0"/>
        <w:ind w:left="707" w:hanging="283"/>
        <w:jc w:val="left"/>
        <w:rPr/>
      </w:pPr>
      <w:r>
        <w:rPr/>
        <w:t>S</w:t>
      </w:r>
      <w:r>
        <w:rPr/>
        <w:t xml:space="preserve">pecific reference to a tension: </w:t>
      </w:r>
      <w:r>
        <w:rPr/>
        <w:t xml:space="preserve">Between Wallace’s original, apparent thesis about the rhetorical efficacy of Garner’s sanitized and impersonal English </w:t>
      </w:r>
      <w:r>
        <w:rPr/>
        <w:t xml:space="preserve"> </w:t>
      </w:r>
      <w:r>
        <w:rPr/>
        <w:t>and his choice to employ a distinctly unsanitized version of English.</w:t>
      </w:r>
    </w:p>
    <w:p>
      <w:pPr>
        <w:pStyle w:val="TextBody"/>
        <w:bidi w:val="0"/>
        <w:spacing w:lineRule="auto" w:line="360" w:before="0" w:after="0"/>
        <w:jc w:val="left"/>
        <w:rPr/>
      </w:pPr>
      <w:r>
        <w:rPr/>
      </w:r>
    </w:p>
    <w:p>
      <w:pPr>
        <w:pStyle w:val="TextBody"/>
        <w:bidi w:val="0"/>
        <w:spacing w:lineRule="auto" w:line="360" w:before="0" w:after="0"/>
        <w:jc w:val="left"/>
        <w:rPr/>
      </w:pPr>
      <w:r>
        <w:rPr/>
        <w:tab/>
        <w:t xml:space="preserve">“But while Wallace claims that Garner is a “genius” (57), he deliberately departs from Garner’s </w:t>
        <w:tab/>
        <w:t xml:space="preserve">anonymous writing style. In fact, Wallace </w:t>
      </w:r>
      <w:r>
        <w:rPr/>
        <w:t>fl</w:t>
      </w:r>
      <w:r>
        <w:rPr/>
        <w:t xml:space="preserve">aunts his authorial voice, and by the </w:t>
      </w:r>
      <w:r>
        <w:rPr/>
        <w:t>e</w:t>
      </w:r>
      <w:r>
        <w:rPr/>
        <w:t xml:space="preserve">nd of the essay </w:t>
        <w:tab/>
        <w:t>the reader is well acquainted with the author.”</w:t>
      </w:r>
    </w:p>
    <w:p>
      <w:pPr>
        <w:pStyle w:val="TextBody"/>
        <w:bidi w:val="0"/>
        <w:spacing w:lineRule="auto" w:line="360" w:before="0" w:after="0"/>
        <w:jc w:val="left"/>
        <w:rPr/>
      </w:pPr>
      <w:r>
        <w:rPr/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360" w:before="0" w:after="0"/>
        <w:ind w:left="707" w:hanging="283"/>
        <w:jc w:val="left"/>
        <w:rPr/>
      </w:pPr>
      <w:r>
        <w:rPr/>
        <w:t xml:space="preserve">Description of how that tension affects the reader and/or meaning in the text: </w:t>
      </w:r>
      <w:r>
        <w:rPr/>
        <w:t>Leads readers to question the style and efficacy of Wallace’s own prose when he writes directly opposite to his actual advice.</w:t>
      </w:r>
    </w:p>
    <w:p>
      <w:pPr>
        <w:pStyle w:val="TextBody"/>
        <w:bidi w:val="0"/>
        <w:spacing w:lineRule="auto" w:line="360" w:before="0" w:after="0"/>
        <w:jc w:val="left"/>
        <w:rPr/>
      </w:pPr>
      <w:r>
        <w:rPr/>
      </w:r>
    </w:p>
    <w:p>
      <w:pPr>
        <w:pStyle w:val="TextBody"/>
        <w:bidi w:val="0"/>
        <w:spacing w:lineRule="auto" w:line="360" w:before="0" w:after="0"/>
        <w:jc w:val="left"/>
        <w:rPr/>
      </w:pPr>
      <w:r>
        <w:rPr/>
        <w:tab/>
        <w:t>“This show-and-tell attitude is in complete opposition to Garner’s more anonymous</w:t>
      </w:r>
    </w:p>
    <w:p>
      <w:pPr>
        <w:pStyle w:val="TextBody"/>
        <w:bidi w:val="0"/>
        <w:spacing w:lineRule="auto" w:line="360" w:before="0" w:after="0"/>
        <w:jc w:val="left"/>
        <w:rPr/>
      </w:pPr>
      <w:r>
        <w:rPr/>
        <w:tab/>
        <w:t xml:space="preserve">strategy, which can lead the reader to believe that if Garner is a genius, then Wallace must be a </w:t>
        <w:tab/>
        <w:t>nincompoop for projecting himself onto his argument.”</w:t>
      </w:r>
    </w:p>
    <w:p>
      <w:pPr>
        <w:pStyle w:val="TextBody"/>
        <w:numPr>
          <w:ilvl w:val="0"/>
          <w:numId w:val="0"/>
        </w:numPr>
        <w:bidi w:val="0"/>
        <w:spacing w:lineRule="auto" w:line="360" w:before="0" w:after="0"/>
        <w:ind w:left="707" w:hanging="0"/>
        <w:jc w:val="left"/>
        <w:rPr/>
      </w:pPr>
      <w:r>
        <w:rPr/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360" w:before="0" w:after="0"/>
        <w:ind w:left="707" w:hanging="283"/>
        <w:jc w:val="left"/>
        <w:rPr/>
      </w:pPr>
      <w:r>
        <w:rPr/>
        <w:t>Identification of an interpretive problem (often posed as a question):</w:t>
      </w:r>
    </w:p>
    <w:p>
      <w:pPr>
        <w:pStyle w:val="TextBody"/>
        <w:bidi w:val="0"/>
        <w:spacing w:lineRule="auto" w:line="360" w:before="0" w:after="0"/>
        <w:jc w:val="left"/>
        <w:rPr/>
      </w:pPr>
      <w:r>
        <w:rPr/>
      </w:r>
    </w:p>
    <w:p>
      <w:pPr>
        <w:pStyle w:val="TextBody"/>
        <w:bidi w:val="0"/>
        <w:spacing w:lineRule="auto" w:line="360" w:before="0" w:after="0"/>
        <w:jc w:val="left"/>
        <w:rPr/>
      </w:pPr>
      <w:r>
        <w:rPr/>
        <w:tab/>
        <w:t xml:space="preserve">“This begs the question: if Wallace so admires Garner’s impersonal </w:t>
      </w:r>
      <w:r>
        <w:rPr/>
        <w:t>a</w:t>
      </w:r>
      <w:r>
        <w:rPr/>
        <w:t xml:space="preserve">pproach, why does he </w:t>
        <w:tab/>
        <w:t>appeal to his reader with such different rhetoric?”</w:t>
      </w:r>
    </w:p>
    <w:p>
      <w:pPr>
        <w:pStyle w:val="TextBody"/>
        <w:bidi w:val="0"/>
        <w:spacing w:lineRule="auto" w:line="360" w:before="0" w:after="0"/>
        <w:jc w:val="left"/>
        <w:rPr/>
      </w:pPr>
      <w:r>
        <w:rPr/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360" w:before="0" w:after="0"/>
        <w:ind w:left="707" w:hanging="283"/>
        <w:jc w:val="left"/>
        <w:rPr/>
      </w:pPr>
      <w:r>
        <w:rPr/>
        <w:t xml:space="preserve">Presentation of evidence that such an interpretive problem exists (often points to an underlying pattern): </w:t>
      </w:r>
      <w:r>
        <w:rPr/>
        <w:t>Points out repeated nonstandard facets of Wallace’s own writing within his own writing, such as non-English words, swaps between childish and professorial voices.</w:t>
      </w:r>
    </w:p>
    <w:p>
      <w:pPr>
        <w:pStyle w:val="TextBody"/>
        <w:numPr>
          <w:ilvl w:val="0"/>
          <w:numId w:val="0"/>
        </w:numPr>
        <w:bidi w:val="0"/>
        <w:spacing w:lineRule="auto" w:line="360" w:before="0" w:after="0"/>
        <w:ind w:left="707" w:hanging="0"/>
        <w:jc w:val="left"/>
        <w:rPr/>
      </w:pPr>
      <w:r>
        <w:rPr/>
      </w:r>
    </w:p>
    <w:p>
      <w:pPr>
        <w:pStyle w:val="TextBody"/>
        <w:numPr>
          <w:ilvl w:val="0"/>
          <w:numId w:val="0"/>
        </w:numPr>
        <w:bidi w:val="0"/>
        <w:spacing w:lineRule="auto" w:line="360" w:before="0" w:after="0"/>
        <w:ind w:left="707" w:hanging="0"/>
        <w:jc w:val="left"/>
        <w:rPr/>
      </w:pPr>
      <w:r>
        <w:rPr/>
        <w:t>“</w:t>
      </w:r>
      <w:r>
        <w:rPr/>
        <w:t xml:space="preserve">Childish speech (such as the “plus” in “plus also the “uncomfortable’ part” and the “sort of” in “it was sort of our family’s version of ‘100 Bottles . . . Wall’”) sits alongside obscure foreign </w:t>
      </w:r>
      <w:r>
        <w:rPr/>
        <w:t>i</w:t>
      </w:r>
      <w:r>
        <w:rPr/>
        <w:t xml:space="preserve">mports such as à clef and Sprachgefül (41).” </w:t>
      </w:r>
    </w:p>
    <w:p>
      <w:pPr>
        <w:pStyle w:val="TextBody"/>
        <w:numPr>
          <w:ilvl w:val="0"/>
          <w:numId w:val="0"/>
        </w:numPr>
        <w:bidi w:val="0"/>
        <w:spacing w:lineRule="auto" w:line="360" w:before="0" w:after="0"/>
        <w:ind w:left="707" w:hanging="0"/>
        <w:jc w:val="left"/>
        <w:rPr/>
      </w:pPr>
      <w:r>
        <w:rPr/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360" w:before="0" w:after="0"/>
        <w:ind w:left="707" w:hanging="283"/>
        <w:jc w:val="left"/>
        <w:rPr/>
      </w:pPr>
      <w:r>
        <w:rPr/>
        <w:t xml:space="preserve">Explicit or implicit reference to the author’s overarching project: </w:t>
      </w:r>
      <w:r>
        <w:rPr/>
        <w:t>Near the end, the author makes clear what Wallace’s ultimate goal is, which is to convey an argument about the efficacy of non-Standard English as well.</w:t>
      </w:r>
    </w:p>
    <w:p>
      <w:pPr>
        <w:pStyle w:val="TextBody"/>
        <w:bidi w:val="0"/>
        <w:spacing w:lineRule="auto" w:line="360" w:before="0" w:after="0"/>
        <w:jc w:val="left"/>
        <w:rPr/>
      </w:pPr>
      <w:r>
        <w:rPr/>
      </w:r>
    </w:p>
    <w:p>
      <w:pPr>
        <w:pStyle w:val="TextBody"/>
        <w:bidi w:val="0"/>
        <w:spacing w:lineRule="auto" w:line="360" w:before="0" w:after="0"/>
        <w:jc w:val="left"/>
        <w:rPr/>
      </w:pPr>
      <w:r>
        <w:rPr/>
        <w:tab/>
        <w:t xml:space="preserve">“David Foster Wallace lets his words speak for themselves. Even in an essay praising the merits </w:t>
        <w:tab/>
        <w:t xml:space="preserve">of Standard English, he manages to display the versatility and </w:t>
      </w:r>
      <w:r>
        <w:rPr/>
        <w:t>fl</w:t>
      </w:r>
      <w:r>
        <w:rPr/>
        <w:t xml:space="preserve">exibility of the English </w:t>
        <w:tab/>
        <w:t>language without uttering a word on the subject.”</w:t>
      </w:r>
    </w:p>
    <w:p>
      <w:pPr>
        <w:pStyle w:val="TextBody"/>
        <w:numPr>
          <w:ilvl w:val="0"/>
          <w:numId w:val="0"/>
        </w:numPr>
        <w:bidi w:val="0"/>
        <w:spacing w:lineRule="auto" w:line="360" w:before="0" w:after="0"/>
        <w:ind w:left="707" w:hanging="0"/>
        <w:jc w:val="left"/>
        <w:rPr/>
      </w:pPr>
      <w:r>
        <w:rPr/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360" w:before="0" w:after="0"/>
        <w:ind w:left="707" w:hanging="283"/>
        <w:jc w:val="left"/>
        <w:rPr/>
      </w:pPr>
      <w:r>
        <w:rPr/>
        <w:t xml:space="preserve">Reconciliation of the tension: </w:t>
      </w:r>
      <w:r>
        <w:rPr/>
        <w:t>Wallace uses non-Standard English in a convincing manner in order to show that impersonal prose is not a prerequisite for rhetorical effect.</w:t>
      </w:r>
    </w:p>
    <w:p>
      <w:pPr>
        <w:pStyle w:val="TextBody"/>
        <w:bidi w:val="0"/>
        <w:spacing w:lineRule="auto" w:line="360" w:before="0" w:after="0"/>
        <w:jc w:val="left"/>
        <w:rPr/>
      </w:pPr>
      <w:r>
        <w:rPr/>
      </w:r>
    </w:p>
    <w:p>
      <w:pPr>
        <w:pStyle w:val="TextBody"/>
        <w:bidi w:val="0"/>
        <w:spacing w:lineRule="auto" w:line="360" w:before="0" w:after="0"/>
        <w:jc w:val="left"/>
        <w:rPr/>
      </w:pPr>
      <w:r>
        <w:rPr/>
        <w:tab/>
        <w:t>“</w:t>
      </w:r>
      <w:r>
        <w:rPr/>
        <w:t xml:space="preserve">His specifically </w:t>
      </w:r>
      <w:r>
        <w:rPr/>
        <w:t xml:space="preserve">non-Standard choice of words proves that other forms of English can be just as </w:t>
        <w:tab/>
        <w:t>persuasive as Standard English.”</w:t>
      </w:r>
    </w:p>
    <w:p>
      <w:pPr>
        <w:pStyle w:val="TextBody"/>
        <w:numPr>
          <w:ilvl w:val="0"/>
          <w:numId w:val="0"/>
        </w:numPr>
        <w:bidi w:val="0"/>
        <w:spacing w:lineRule="auto" w:line="360" w:before="0" w:after="0"/>
        <w:ind w:left="707" w:hanging="0"/>
        <w:jc w:val="left"/>
        <w:rPr/>
      </w:pPr>
      <w:r>
        <w:rPr/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360" w:before="0" w:after="0"/>
        <w:ind w:left="707" w:hanging="283"/>
        <w:jc w:val="left"/>
        <w:rPr/>
      </w:pPr>
      <w:r>
        <w:rPr/>
        <w:t xml:space="preserve">A strong (arguable, supportable) claim:  </w:t>
      </w:r>
      <w:r>
        <w:rPr/>
        <w:t>The point that Wallace is making about non-Standard English is actually in line with his wider claims about the use of English in general, which is that it has use in communication and persuasion.</w:t>
      </w:r>
    </w:p>
    <w:p>
      <w:pPr>
        <w:pStyle w:val="TextBody"/>
        <w:numPr>
          <w:ilvl w:val="0"/>
          <w:numId w:val="0"/>
        </w:numPr>
        <w:bidi w:val="0"/>
        <w:spacing w:lineRule="auto" w:line="360" w:before="0" w:after="0"/>
        <w:ind w:left="707" w:hanging="0"/>
        <w:jc w:val="left"/>
        <w:rPr/>
      </w:pPr>
      <w:r>
        <w:rPr/>
      </w:r>
    </w:p>
    <w:p>
      <w:pPr>
        <w:pStyle w:val="TextBody"/>
        <w:numPr>
          <w:ilvl w:val="0"/>
          <w:numId w:val="0"/>
        </w:numPr>
        <w:bidi w:val="0"/>
        <w:spacing w:lineRule="auto" w:line="360" w:before="0" w:after="0"/>
        <w:ind w:left="707" w:hanging="0"/>
        <w:jc w:val="left"/>
        <w:rPr/>
      </w:pPr>
      <w:r>
        <w:rPr/>
        <w:t>“</w:t>
      </w:r>
      <w:r>
        <w:rPr/>
        <w:t>The fact that individual words de</w:t>
      </w:r>
      <w:r>
        <w:rPr/>
        <w:t>fi</w:t>
      </w:r>
      <w:r>
        <w:rPr/>
        <w:t xml:space="preserve">ne (and support) Wallace’s position vis-à-vis the English </w:t>
        <w:tab/>
        <w:t xml:space="preserve">language is undeniable proof in favor of Wallace’s fundamental thesis: that words do have </w:t>
        <w:tab/>
        <w:t>power, that language does matter, and that English usage is in fact a political issue.”</w:t>
      </w:r>
    </w:p>
    <w:p>
      <w:pPr>
        <w:pStyle w:val="TextBody"/>
        <w:numPr>
          <w:ilvl w:val="0"/>
          <w:numId w:val="0"/>
        </w:numPr>
        <w:bidi w:val="0"/>
        <w:spacing w:lineRule="auto" w:line="360"/>
        <w:ind w:left="707" w:hanging="0"/>
        <w:jc w:val="left"/>
        <w:rPr/>
      </w:pPr>
      <w:r>
        <w:rPr/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360"/>
        <w:ind w:left="707" w:hanging="283"/>
        <w:jc w:val="left"/>
        <w:rPr/>
      </w:pPr>
      <w:r>
        <w:rPr/>
        <w:t xml:space="preserve">A clear sense of what is motivating the student author to explore this tension (ie. why the tension matters): </w:t>
      </w:r>
      <w:r>
        <w:rPr/>
        <w:t>The student perceives language as something with great power to persuade, and thus a social and political issue.</w:t>
      </w:r>
    </w:p>
    <w:p>
      <w:pPr>
        <w:pStyle w:val="TextBody"/>
        <w:bidi w:val="0"/>
        <w:spacing w:lineRule="auto" w:line="360"/>
        <w:jc w:val="left"/>
        <w:rPr/>
      </w:pPr>
      <w:r>
        <w:rPr/>
        <w:tab/>
        <w:t>“Anything this powerful is by de</w:t>
      </w:r>
      <w:r>
        <w:rPr/>
        <w:t>fi</w:t>
      </w:r>
      <w:r>
        <w:rPr/>
        <w:t xml:space="preserve">nition a social concern, and so what does or does not go into </w:t>
        <w:tab/>
        <w:t>the dictionary is an issue of the utmost social, political, and democratic importance.”</w:t>
      </w:r>
    </w:p>
    <w:p>
      <w:pPr>
        <w:pStyle w:val="TextBody"/>
        <w:bidi w:val="0"/>
        <w:spacing w:lineRule="auto" w:line="360" w:before="0" w:after="14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School</Template>
  <TotalTime>12</TotalTime>
  <Application>LibreOffice/6.3.4.2.0$Linux_X86_64 LibreOffice_project/30$Build-2</Application>
  <Pages>2</Pages>
  <Words>531</Words>
  <Characters>2797</Characters>
  <CharactersWithSpaces>3323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2020-02-05T08:45:34Z</dcterms:created>
  <dc:creator/>
  <dc:description/>
  <dc:language>en-US</dc:language>
  <cp:lastModifiedBy/>
  <dcterms:modified xsi:type="dcterms:W3CDTF">2020-02-05T09:30:12Z</dcterms:modified>
  <cp:revision>3</cp:revision>
  <dc:subject/>
  <dc:title>School</dc:title>
</cp:coreProperties>
</file>