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4"/>
        </w:rPr>
        <w:t>A銀行 顧客データ分析・営業高度化基盤構築 RFP</w:t>
      </w:r>
    </w:p>
    <w:p>
      <w:pPr>
        <w:jc w:val="center"/>
      </w:pPr>
      <w:r>
        <w:rPr>
          <w:color w:val="5A5A5A"/>
          <w:sz w:val="22"/>
        </w:rPr>
        <w:t>ハンズオン用架空資料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発行者</w:t>
            </w:r>
          </w:p>
        </w:tc>
        <w:tc>
          <w:tcPr>
            <w:tcW w:type="dxa" w:w="5040"/>
            <w:vAlign w:val="center"/>
          </w:tcPr>
          <w:p>
            <w:r>
              <w:t>A銀行 デジタル企画部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案件番号</w:t>
            </w:r>
          </w:p>
        </w:tc>
        <w:tc>
          <w:tcPr>
            <w:tcW w:type="dxa" w:w="5040"/>
            <w:vAlign w:val="center"/>
          </w:tcPr>
          <w:p>
            <w:r>
              <w:t>ABK-DX-2026-01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提案提出期限</w:t>
            </w:r>
          </w:p>
        </w:tc>
        <w:tc>
          <w:tcPr>
            <w:tcW w:type="dxa" w:w="5040"/>
            <w:vAlign w:val="center"/>
          </w:tcPr>
          <w:p>
            <w:r>
              <w:t>ハンズオン実施日中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機密区分</w:t>
            </w:r>
          </w:p>
        </w:tc>
        <w:tc>
          <w:tcPr>
            <w:tcW w:type="dxa" w:w="5040"/>
            <w:vAlign w:val="center"/>
          </w:tcPr>
          <w:p>
            <w:r>
              <w:t>演習用・架空案件</w:t>
            </w:r>
          </w:p>
        </w:tc>
      </w:tr>
    </w:tbl>
    <w:p>
      <w:pPr>
        <w:pStyle w:val="Heading1"/>
      </w:pPr>
      <w:r>
        <w:t>1. 背景と目的</w:t>
      </w:r>
    </w:p>
    <w:p>
      <w:r>
        <w:t>A銀行では、顧客情報、取引情報、Web行動、営業活動履歴が複数システムに分散している。営業担当者が顧客の状況を一元的に把握し、優先して接触すべき顧客と推奨提案を確認できるデータ・AI基盤の構築を目的とする。</w:t>
      </w:r>
    </w:p>
    <w:p>
      <w:pPr>
        <w:pStyle w:val="Heading1"/>
      </w:pPr>
      <w:r>
        <w:t>2. 業務要件</w:t>
      </w:r>
    </w:p>
    <w:p>
      <w:r>
        <w:t>2.1 法人営業担当者が、優先接触顧客、推奨商品、推奨理由を確認できること。</w:t>
      </w:r>
    </w:p>
    <w:p>
      <w:pPr>
        <w:pStyle w:val="Heading1"/>
      </w:pPr>
      <w:r>
        <w:t>3. データ要件</w:t>
      </w:r>
    </w:p>
    <w:p>
      <w:r>
        <w:t>3.1 顧客、取引、Web行動、営業活動履歴を統合すること。</w:t>
      </w:r>
    </w:p>
    <w:p>
      <w:r>
        <w:t>3.2 顧客IDの名寄せと統合ルールを設計すること。</w:t>
      </w:r>
    </w:p>
    <w:p>
      <w:r>
        <w:t>3.4 原データおよび加工データを7年間保存すること。</w:t>
      </w:r>
    </w:p>
    <w:p>
      <w:pPr>
        <w:pStyle w:val="Heading1"/>
      </w:pPr>
      <w:r>
        <w:t>4. セキュリティ要件</w:t>
      </w:r>
    </w:p>
    <w:p>
      <w:r>
        <w:t>4.1 通信経路をTLS 1.2以上で暗号化すること。</w:t>
      </w:r>
    </w:p>
    <w:p>
      <w:r>
        <w:t>4.2 保存データを暗号化し、鍵管理方針を提示すること。</w:t>
      </w:r>
    </w:p>
    <w:p>
      <w:r>
        <w:t>4.4 第三者認証またはセキュリティ監査結果を提示すること。</w:t>
      </w:r>
    </w:p>
    <w:p>
      <w:r>
        <w:t>4.5 本案件で取り扱うデータは国内リージョンに保管すること。</w:t>
      </w:r>
    </w:p>
    <w:p>
      <w:pPr>
        <w:pStyle w:val="Heading1"/>
      </w:pPr>
      <w:r>
        <w:t>5. 非機能要件</w:t>
      </w:r>
    </w:p>
    <w:p>
      <w:r>
        <w:t>5.1 十分な可用性を確保すること。提案者は目標稼働率、重大障害時の復旧目標、計画停止の扱いを提案または質問票で確認すること。重大障害の目標復旧時間は4時間以内を想定する。</w:t>
      </w:r>
    </w:p>
    <w:p>
      <w:pPr>
        <w:pStyle w:val="Heading1"/>
      </w:pPr>
      <w:r>
        <w:t>6. 生成AI・AIガバナンス要件</w:t>
      </w:r>
    </w:p>
    <w:p>
      <w:pPr>
        <w:pStyle w:val="ListBullet"/>
      </w:pPr>
      <w:r>
        <w:t>生成AIへの入力データを基盤モデルの学習に利用しないこと。</w:t>
      </w:r>
    </w:p>
    <w:p>
      <w:pPr>
        <w:pStyle w:val="ListBullet"/>
      </w:pPr>
      <w:r>
        <w:t>入力データの保存期間を明示すること。</w:t>
      </w:r>
    </w:p>
    <w:p>
      <w:pPr>
        <w:pStyle w:val="ListBullet"/>
      </w:pPr>
      <w:r>
        <w:t>個人情報・機密情報のマスキング方針を提示すること。</w:t>
      </w:r>
    </w:p>
    <w:p>
      <w:pPr>
        <w:pStyle w:val="ListBullet"/>
      </w:pPr>
      <w:r>
        <w:t>生成AIの利用履歴と出力履歴を監査可能にすること。</w:t>
      </w:r>
    </w:p>
    <w:p>
      <w:pPr>
        <w:pStyle w:val="Heading1"/>
      </w:pPr>
      <w:r>
        <w:t>7. プロジェクト管理要件</w:t>
      </w:r>
    </w:p>
    <w:p>
      <w:r>
        <w:t>構想策定、データ調査、PoC、本番導入を段階的に実施し、顧客側作業、前提条件、リスク、意思決定ポイントを示すこと。</w:t>
      </w:r>
    </w:p>
    <w:p>
      <w:pPr>
        <w:pStyle w:val="Heading1"/>
      </w:pPr>
      <w:r>
        <w:t>8. 評価基準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</w:tcPr>
          <w:p>
            <w:r>
              <w:rPr>
                <w:b/>
                <w:color w:val="FFFFFF"/>
              </w:rPr>
              <w:t>評価項目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</w:rPr>
              <w:t>配点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</w:rPr>
              <w:t>評価観点</w:t>
            </w:r>
          </w:p>
        </w:tc>
      </w:tr>
      <w:tr>
        <w:tc>
          <w:tcPr>
            <w:tcW w:type="dxa" w:w="3360"/>
          </w:tcPr>
          <w:p>
            <w:r>
              <w:t>RFP適合性</w:t>
            </w:r>
          </w:p>
        </w:tc>
        <w:tc>
          <w:tcPr>
            <w:tcW w:type="dxa" w:w="3360"/>
          </w:tcPr>
          <w:p>
            <w:r>
              <w:t>30</w:t>
            </w:r>
          </w:p>
        </w:tc>
        <w:tc>
          <w:tcPr>
            <w:tcW w:type="dxa" w:w="3360"/>
          </w:tcPr>
          <w:p>
            <w:r>
              <w:t>必須要件への回答、抜け漏れ</w:t>
            </w:r>
          </w:p>
        </w:tc>
      </w:tr>
      <w:tr>
        <w:tc>
          <w:tcPr>
            <w:tcW w:type="dxa" w:w="3360"/>
          </w:tcPr>
          <w:p>
            <w:r>
              <w:t>提案価値</w:t>
            </w:r>
          </w:p>
        </w:tc>
        <w:tc>
          <w:tcPr>
            <w:tcW w:type="dxa" w:w="3360"/>
          </w:tcPr>
          <w:p>
            <w:r>
              <w:t>25</w:t>
            </w:r>
          </w:p>
        </w:tc>
        <w:tc>
          <w:tcPr>
            <w:tcW w:type="dxa" w:w="3360"/>
          </w:tcPr>
          <w:p>
            <w:r>
              <w:t>営業高度化への効果、差別化</w:t>
            </w:r>
          </w:p>
        </w:tc>
      </w:tr>
      <w:tr>
        <w:tc>
          <w:tcPr>
            <w:tcW w:type="dxa" w:w="3360"/>
          </w:tcPr>
          <w:p>
            <w:r>
              <w:t>実現可能性</w:t>
            </w:r>
          </w:p>
        </w:tc>
        <w:tc>
          <w:tcPr>
            <w:tcW w:type="dxa" w:w="3360"/>
          </w:tcPr>
          <w:p>
            <w:r>
              <w:t>20</w:t>
            </w:r>
          </w:p>
        </w:tc>
        <w:tc>
          <w:tcPr>
            <w:tcW w:type="dxa" w:w="3360"/>
          </w:tcPr>
          <w:p>
            <w:r>
              <w:t>構成、計画、体制</w:t>
            </w:r>
          </w:p>
        </w:tc>
      </w:tr>
      <w:tr>
        <w:tc>
          <w:tcPr>
            <w:tcW w:type="dxa" w:w="3360"/>
          </w:tcPr>
          <w:p>
            <w:r>
              <w:t>セキュリティ・AIガバナンス</w:t>
            </w:r>
          </w:p>
        </w:tc>
        <w:tc>
          <w:tcPr>
            <w:tcW w:type="dxa" w:w="3360"/>
          </w:tcPr>
          <w:p>
            <w:r>
              <w:t>15</w:t>
            </w:r>
          </w:p>
        </w:tc>
        <w:tc>
          <w:tcPr>
            <w:tcW w:type="dxa" w:w="3360"/>
          </w:tcPr>
          <w:p>
            <w:r>
              <w:t>金融機関としての統制</w:t>
            </w:r>
          </w:p>
        </w:tc>
      </w:tr>
      <w:tr>
        <w:tc>
          <w:tcPr>
            <w:tcW w:type="dxa" w:w="3360"/>
          </w:tcPr>
          <w:p>
            <w:r>
              <w:t>価格</w:t>
            </w:r>
          </w:p>
        </w:tc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t>範囲と見積の妥当性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