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eastAsia="黑体" w:ascii="黑体"/>
          <w:rFonts w:ascii="黑体" w:hAnsi="黑体"/>
          <w:b/>
          <w:color w:val="1F4E79"/>
          <w:sz w:val="44"/>
        </w:rPr>
        <w:t>涡扇发动机效能参数贝叶斯辨识报告</w:t>
      </w:r>
    </w:p>
    <w:p>
      <w:r>
        <w:br/>
      </w:r>
    </w:p>
    <w:p>
      <w:pPr>
        <w:jc w:val="center"/>
      </w:pPr>
      <w:r>
        <w:rPr>
          <w:rFonts w:eastAsia="宋体" w:ascii="Times New Roman"/>
          <w:rFonts w:ascii="宋体" w:hAnsi="宋体"/>
          <w:b w:val="0"/>
          <w:color w:val="595959"/>
          <w:sz w:val="28"/>
        </w:rPr>
        <w:t>——基于自适应 Metropolis-Hastings MCMC 方法</w:t>
      </w:r>
    </w:p>
    <w:p>
      <w:r>
        <w:br/>
        <w:br/>
        <w:br/>
      </w:r>
    </w:p>
    <w:p>
      <w:pPr>
        <w:jc w:val="center"/>
      </w:pPr>
      <w:r>
        <w:rPr>
          <w:rFonts w:eastAsia="宋体" w:ascii="Times New Roman"/>
          <w:rFonts w:ascii="宋体" w:hAnsi="宋体"/>
          <w:b w:val="0"/>
          <w:color w:val="595959"/>
          <w:sz w:val="24"/>
        </w:rPr>
        <w:t>日期：2026 年 3 月</w:t>
      </w:r>
    </w:p>
    <w:p>
      <w:r>
        <w:br w:type="page"/>
      </w:r>
    </w:p>
    <w:p>
      <w:pPr>
        <w:spacing w:before="240" w:after="120"/>
        <w:jc w:val="left"/>
        <w:pBdr>
          <w:bottom w:val="single" w:sz="6" w:space="1" w:color="4472C4"/>
        </w:pBdr>
      </w:pPr>
      <w:r>
        <w:rPr>
          <w:rFonts w:eastAsia="黑体" w:ascii="黑体"/>
          <w:rFonts w:ascii="黑体" w:hAnsi="黑体"/>
          <w:b/>
          <w:sz w:val="32"/>
        </w:rPr>
        <w:t>一、问题描述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1.1 工程背景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涡扇发动机的性能由一组内部热力学参数共同决定，这些参数（如各部件效率、总压恢复系数）在实际工程中难以直接测量，只能通过外部可观测的整机性能指标（单位比推力 R_ud 和单位比油耗 C_ud）进行间接辨识。由于测量噪声的存在，参数辨识问题具有不确定性，因此需要借助贝叶斯推断框架对参数的后验分布进行定量估计。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1.2 待辨识参数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共涉及 13 个参数，均为无量纲效率或总压恢复系数，其先验范围（均匀分布上下界）如下表所示：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680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编号</w:t>
            </w:r>
          </w:p>
        </w:tc>
        <w:tc>
          <w:tcPr>
            <w:tcW w:type="dxa" w:w="907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参数符号</w:t>
            </w:r>
          </w:p>
        </w:tc>
        <w:tc>
          <w:tcPr>
            <w:tcW w:type="dxa" w:w="255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物理含义</w:t>
            </w:r>
          </w:p>
        </w:tc>
        <w:tc>
          <w:tcPr>
            <w:tcW w:type="dxa" w:w="79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下界 lb</w:t>
            </w:r>
          </w:p>
        </w:tc>
        <w:tc>
          <w:tcPr>
            <w:tcW w:type="dxa" w:w="79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上界 ub</w:t>
            </w:r>
          </w:p>
        </w:tc>
        <w:tc>
          <w:tcPr>
            <w:tcW w:type="dxa" w:w="907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真值 θ*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η_k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压气机绝热效率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0.8500</w:t>
            </w:r>
          </w:p>
        </w:tc>
      </w:tr>
      <w:tr>
        <w:tc>
          <w:tcPr>
            <w:tcW w:type="dxa" w:w="68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2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η_t</w:t>
            </w:r>
          </w:p>
        </w:tc>
        <w:tc>
          <w:tcPr>
            <w:tcW w:type="dxa" w:w="255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涡轮绝热效率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0.86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0.92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0.8900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η_m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机械效率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0.9880</w:t>
            </w:r>
          </w:p>
        </w:tc>
      </w:tr>
      <w:tr>
        <w:tc>
          <w:tcPr>
            <w:tcW w:type="dxa" w:w="68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4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η_v</w:t>
            </w:r>
          </w:p>
        </w:tc>
        <w:tc>
          <w:tcPr>
            <w:tcW w:type="dxa" w:w="255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风扇效率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0.85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0.87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0.8600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η_tv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风扇涡轮效率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0.90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0.9100</w:t>
            </w:r>
          </w:p>
        </w:tc>
      </w:tr>
      <w:tr>
        <w:tc>
          <w:tcPr>
            <w:tcW w:type="dxa" w:w="68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6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η_c1</w:t>
            </w:r>
          </w:p>
        </w:tc>
        <w:tc>
          <w:tcPr>
            <w:tcW w:type="dxa" w:w="255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一次喷管效率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0.94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0.95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0.9450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7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η_c2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二次喷管效率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0.9300</w:t>
            </w:r>
          </w:p>
        </w:tc>
      </w:tr>
      <w:tr>
        <w:tc>
          <w:tcPr>
            <w:tcW w:type="dxa" w:w="68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8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σ_cc</w:t>
            </w:r>
          </w:p>
        </w:tc>
        <w:tc>
          <w:tcPr>
            <w:tcW w:type="dxa" w:w="255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进气道激波总压恢复系数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1.00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σ_kan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进气通道总压恢复系数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0.9850</w:t>
            </w:r>
          </w:p>
        </w:tc>
      </w:tr>
      <w:tr>
        <w:tc>
          <w:tcPr>
            <w:tcW w:type="dxa" w:w="68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10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σ_kask</w:t>
            </w:r>
          </w:p>
        </w:tc>
        <w:tc>
          <w:tcPr>
            <w:tcW w:type="dxa" w:w="255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压气机级间总压恢复系数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0.9850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σ_ks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燃烧室总压恢复系数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0.94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0.9500</w:t>
            </w:r>
          </w:p>
        </w:tc>
      </w:tr>
      <w:tr>
        <w:tc>
          <w:tcPr>
            <w:tcW w:type="dxa" w:w="68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12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η_T</w:t>
            </w:r>
          </w:p>
        </w:tc>
        <w:tc>
          <w:tcPr>
            <w:tcW w:type="dxa" w:w="255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燃烧放热系数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0.97</w:t>
            </w:r>
          </w:p>
        </w:tc>
        <w:tc>
          <w:tcPr>
            <w:tcW w:type="dxa" w:w="79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λ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风扇涡轮热恢复系数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1.02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1.0300</w:t>
            </w:r>
          </w:p>
        </w:tc>
      </w:tr>
    </w:tbl>
    <w:p/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1.3 工作条件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参数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符号</w:t>
            </w:r>
          </w:p>
        </w:tc>
        <w:tc>
          <w:tcPr>
            <w:tcW w:type="dxa" w:w="2948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取值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大气温度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T_H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288 K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飞行马赫数</w:t>
            </w:r>
          </w:p>
        </w:tc>
        <w:tc>
          <w:tcPr>
            <w:tcW w:type="dxa" w:w="170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M_∞</w:t>
            </w:r>
          </w:p>
        </w:tc>
        <w:tc>
          <w:tcPr>
            <w:tcW w:type="dxa" w:w="294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0.0（地面静止）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涵道比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m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10.0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压气机总压比</w:t>
            </w:r>
          </w:p>
        </w:tc>
        <w:tc>
          <w:tcPr>
            <w:tcW w:type="dxa" w:w="170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π_k</w:t>
            </w:r>
          </w:p>
        </w:tc>
        <w:tc>
          <w:tcPr>
            <w:tcW w:type="dxa" w:w="294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33.0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涡轮前燃气温度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T_g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1700 K</w:t>
            </w:r>
          </w:p>
        </w:tc>
      </w:tr>
    </w:tbl>
    <w:p/>
    <w:p>
      <w:pPr>
        <w:spacing w:before="240" w:after="120"/>
        <w:jc w:val="left"/>
        <w:pBdr>
          <w:bottom w:val="single" w:sz="6" w:space="1" w:color="4472C4"/>
        </w:pBdr>
      </w:pPr>
      <w:r>
        <w:rPr>
          <w:rFonts w:eastAsia="黑体" w:ascii="黑体"/>
          <w:rFonts w:ascii="黑体" w:hAnsi="黑体"/>
          <w:b/>
          <w:sz w:val="32"/>
        </w:rPr>
        <w:t>二、前向模型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前向模型 engine_forward(θ, cond) 描述从参数向量 θ 到可观测性能指标的映射：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y = F(θ) = [R_ud,  C_ud]ᵀ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2.1 主要计算步骤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1：飞行速度与进口驻点温度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a = √(k_air · R_air · T_H),   V_∞ = a · M_∞</w:t>
        <w:br/>
        <w:t>τ_v = (1 + V_∞² / (2·(k_air/(k_air-1))·R_air·T_H))^(k_air/(k_air-1))</w:t>
        <w:br/>
        <w:t>T_B = T_H · τ_v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2：压气机出口温度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T_k = T_B · (1 + (π_k^((k_air-1)/k_air) - 1) / η_k)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3：相对耗油量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g_T = 3×10⁻⁵ · T_g  −  2.69×10⁻⁵ · T_k  −  0.003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4：热恢复系数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W_c = k_air/(k_air-1) · R_air · T_B · (π_k^((k_air-1)/k_air) − 1)</w:t>
        <w:br/>
        <w:t>h_g = k_T/(k_T-1) · R_T · T_g</w:t>
        <w:br/>
        <w:t>λ_heat = (1 − W_c/(h_g·η_k))  /  (1 − W_c/(h_g·η_k·η_t))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5：单位自由能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L_sv = λ_heat · [ k_T/(k_T-1)·R_T·T_g·(1−(τ_v·σ_bx·π_k·σ_kask·σ_ks)^(-(k_T-1)/k_T))</w:t>
        <w:br/>
        <w:t xml:space="preserve">         −  W_c / ((1+g_T)·η_k·η_T·η_t·η_m·(1−δ)) ]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6：最优能量分配系数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x_pc = (1 + m·V_∞²/(2·L_sv·η_tv·η_v·η_c2))</w:t>
        <w:br/>
        <w:t xml:space="preserve">       / (1 + m·η_tv·η_v·η_c2 / (η_c1·λ))</w:t>
      </w:r>
    </w:p>
    <w:p>
      <w:pPr>
        <w:spacing w:before="120" w:after="40"/>
      </w:pPr>
      <w:r>
        <w:rPr>
          <w:rFonts w:eastAsia="黑体" w:ascii="黑体"/>
          <w:rFonts w:ascii="黑体" w:hAnsi="黑体"/>
          <w:b/>
          <w:sz w:val="24"/>
        </w:rPr>
        <w:t>步骤 7：单位比推力与比油耗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V_j1 = (1+g_T)·√(2·η_c1·λ·x_pc·L_sv) − V_∞</w:t>
        <w:br/>
        <w:t>V_j2 = √(2·(1−x_pc)/m·L_sv·η_tv·η_v·η_c2 + V_∞²) − V_∞</w:t>
        <w:br/>
        <w:t>R_ud = V_j1/(1+m)  +  m·V_j2/(1+m)</w:t>
        <w:br/>
        <w:t>C_ud = 3600·g_T·(1−δ) / (R_ud·(1+m))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2.2 分段物性参数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燃气绝热指数 k_T 和气体常数 R_T 随温度按以下规则取值：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T_g 范围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k_T</w:t>
            </w:r>
          </w:p>
        </w:tc>
        <w:tc>
          <w:tcPr>
            <w:tcW w:type="dxa" w:w="238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R_T (J/(kg·K))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≤ 1400 K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1.33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287.6</w:t>
            </w:r>
          </w:p>
        </w:tc>
      </w:tr>
      <w:tr>
        <w:tc>
          <w:tcPr>
            <w:tcW w:type="dxa" w:w="2835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1400–1600 K</w:t>
            </w:r>
          </w:p>
        </w:tc>
        <w:tc>
          <w:tcPr>
            <w:tcW w:type="dxa" w:w="170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1.30</w:t>
            </w:r>
          </w:p>
        </w:tc>
        <w:tc>
          <w:tcPr>
            <w:tcW w:type="dxa" w:w="238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288.0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&gt; 1600 K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1.25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288.6</w:t>
            </w:r>
          </w:p>
        </w:tc>
      </w:tr>
    </w:tbl>
    <w:p/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冷却引气系数：δ = clip(0.02 + (T_g − 1200)/100 × 0.02,  0,  0.15)</w:t>
      </w:r>
    </w:p>
    <w:p>
      <w:pPr>
        <w:spacing w:before="240" w:after="120"/>
        <w:jc w:val="left"/>
        <w:pBdr>
          <w:bottom w:val="single" w:sz="6" w:space="1" w:color="4472C4"/>
        </w:pBdr>
      </w:pPr>
      <w:r>
        <w:rPr>
          <w:rFonts w:eastAsia="黑体" w:ascii="黑体"/>
          <w:rFonts w:ascii="黑体" w:hAnsi="黑体"/>
          <w:b/>
          <w:sz w:val="32"/>
        </w:rPr>
        <w:t>三、算法设置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3.1 贝叶斯框架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3.1.1 先验分布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对参数向量 θ 采用均匀先验，反映工程专家对参数物理范围的约束：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ln p(θ) = 0   if θ ∈ [lb, ub]；  −∞  otherwise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3.1.2 似然函数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观测模型假设加性高斯噪声，噪声标准差取真值的 1%：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R_obs = R_ud(θ) + ε_R,   ε_R ~ N(0, σ_R²),   σ_R = 0.01·|R_true|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C_obs = C_ud(θ) + ε_C,   ε_C ~ N(0, σ_C²),   σ_C = 0.01·|C_true|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对数似然：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ln p(y_obs | θ) = −0.5·[(R_obs−R_ud)²/σ_R² + ln(2πσ_R²)</w:t>
        <w:br/>
        <w:t xml:space="preserve">                        + (C_obs−C_ud)²/σ_C² + ln(2πσ_C²)]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3.1.3 后验分布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ln p(θ | y_obs) = ln p(θ) + ln p(y_obs | θ)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3.2 MCMC 算法：自适应 Metropolis-Hastings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3.2.1 参数空间变换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为天然满足参数有界约束，将原始参数映射到单位超立方体，在 z 空间上执行随机游走，越界时采用反射边界处理：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z_i = (θ_i − lb_i) / (ub_i − lb_i) ∈ [0, 1]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若 z &lt; 0 → z = −z；  若 z &gt; 1 → z = 2 − z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3.2.2 提议分布与接受准则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z* = z^(t) + ε,   ε ~ N(0, σ_prop²·I)</w:t>
      </w:r>
    </w:p>
    <w:p>
      <w:pPr>
        <w:spacing w:before="40" w:after="40"/>
        <w:jc w:val="center"/>
      </w:pPr>
      <w:r>
        <w:rPr>
          <w:rFonts w:eastAsia="Times New Roman" w:ascii="Times New Roman"/>
          <w:rFonts w:ascii="Times New Roman" w:hAnsi="Times New Roman"/>
          <w:b w:val="0"/>
          <w:i/>
          <w:sz w:val="22"/>
        </w:rPr>
        <w:t>接受条件：ln u &lt; ln p(θ*|y) − ln p(θ^(t)|y),   u ~ U[0,1]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3.2.3 自适应步长规则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每隔 100 步统计窗口内接受率，若偏低（&lt; 0.18）则缩减步长 ×0.9，若偏高（&gt; 0.35）则放大步长 ×1.1，步长限幅在 [1×10⁻⁴, 0.5] 内。自适应仅在烧入期（步数 500–2500）内进行，后验采样阶段步长固定。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6"/>
        </w:rPr>
        <w:t>3.2.4 采样配置汇总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3402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配置项</w:t>
            </w:r>
          </w:p>
        </w:tc>
        <w:tc>
          <w:tcPr>
            <w:tcW w:type="dxa" w:w="3515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取值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总采样步数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10,000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烧入期（Burn-in）</w:t>
            </w:r>
          </w:p>
        </w:tc>
        <w:tc>
          <w:tcPr>
            <w:tcW w:type="dxa" w:w="3515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2,000 步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后验有效链长度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8,000 步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初始提议标准差 σ_prop</w:t>
            </w:r>
          </w:p>
        </w:tc>
        <w:tc>
          <w:tcPr>
            <w:tcW w:type="dxa" w:w="3515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0.012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自适应区间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步数 500–2500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调整间隔</w:t>
            </w:r>
          </w:p>
        </w:tc>
        <w:tc>
          <w:tcPr>
            <w:tcW w:type="dxa" w:w="3515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每 100 步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目标接受率区间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[0.18, 0.35]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步长调整因子</w:t>
            </w:r>
          </w:p>
        </w:tc>
        <w:tc>
          <w:tcPr>
            <w:tcW w:type="dxa" w:w="3515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偏低 → ×0.9；偏高 → ×1.1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σ_prop 限幅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[1×10⁻⁴, 0.5]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初始点 θ₀</w:t>
            </w:r>
          </w:p>
        </w:tc>
        <w:tc>
          <w:tcPr>
            <w:tcW w:type="dxa" w:w="3515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各参数先验区间中点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随机种子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42（主程序）/ 123（数据生成）</w:t>
            </w:r>
          </w:p>
        </w:tc>
      </w:tr>
    </w:tbl>
    <w:p/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3.3 后验统计量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从后验链 chain_post（去除烧入期后的 8000 步）提取以下统计量：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后验均值：θ_mean = (1/N)·Σ θ^(s)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MAP 估计：后验链中对数后验最大处的样本  θ_MAP = argmax_s ln p(θ^(s)|y)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95% 可信区间：[quantile(2.5%), quantile(97.5%)]</w:t>
      </w:r>
    </w:p>
    <w:p>
      <w:pPr>
        <w:spacing w:before="240" w:after="120"/>
        <w:jc w:val="left"/>
        <w:pBdr>
          <w:bottom w:val="single" w:sz="6" w:space="1" w:color="4472C4"/>
        </w:pBdr>
      </w:pPr>
      <w:r>
        <w:rPr>
          <w:rFonts w:eastAsia="黑体" w:ascii="黑体"/>
          <w:rFonts w:ascii="黑体" w:hAnsi="黑体"/>
          <w:b/>
          <w:sz w:val="32"/>
        </w:rPr>
        <w:t>四、结果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4.1 前向模型真值输出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在真值参数 θ* 和给定工况下（地面静止，M_∞ = 0），前向模型的关键中间量为：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中间量</w:t>
            </w:r>
          </w:p>
        </w:tc>
        <w:tc>
          <w:tcPr>
            <w:tcW w:type="dxa" w:w="113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符号</w:t>
            </w:r>
          </w:p>
        </w:tc>
        <w:tc>
          <w:tcPr>
            <w:tcW w:type="dxa" w:w="3798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进口驻点温度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T_B</w:t>
            </w:r>
          </w:p>
        </w:tc>
        <w:tc>
          <w:tcPr>
            <w:tcW w:type="dxa" w:w="379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= T_H = 288 K（静止时 τ_v = 1）</w:t>
            </w:r>
          </w:p>
        </w:tc>
      </w:tr>
      <w:tr>
        <w:tc>
          <w:tcPr>
            <w:tcW w:type="dxa" w:w="198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压气机出口温度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T_k</w:t>
            </w:r>
          </w:p>
        </w:tc>
        <w:tc>
          <w:tcPr>
            <w:tcW w:type="dxa" w:w="379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由 π_k = 33、η_k = 0.85 计算，约 800–900 K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冷却引气系数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δ</w:t>
            </w:r>
          </w:p>
        </w:tc>
        <w:tc>
          <w:tcPr>
            <w:tcW w:type="dxa" w:w="379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= 0.02+(1700−1200)/100×0.02 = 0.12</w:t>
            </w:r>
          </w:p>
        </w:tc>
      </w:tr>
      <w:tr>
        <w:tc>
          <w:tcPr>
            <w:tcW w:type="dxa" w:w="198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相对耗油量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g_T</w:t>
            </w:r>
          </w:p>
        </w:tc>
        <w:tc>
          <w:tcPr>
            <w:tcW w:type="dxa" w:w="379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满足 g_T &gt; 0（物理约束）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热恢复系数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λ_heat</w:t>
            </w:r>
          </w:p>
        </w:tc>
        <w:tc>
          <w:tcPr>
            <w:tcW w:type="dxa" w:w="379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由压气机功与燃气焓之比决定</w:t>
            </w:r>
          </w:p>
        </w:tc>
      </w:tr>
      <w:tr>
        <w:tc>
          <w:tcPr>
            <w:tcW w:type="dxa" w:w="198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单位自由能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L_sv</w:t>
            </w:r>
          </w:p>
        </w:tc>
        <w:tc>
          <w:tcPr>
            <w:tcW w:type="dxa" w:w="379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涡轮膨胀做功与压气机功之差经热恢复修正</w:t>
            </w:r>
          </w:p>
        </w:tc>
      </w:tr>
    </w:tbl>
    <w:p/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4.2 后验估计结果汇总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下表给出各参数的贝叶斯估计结果（代码标准输出格式，实际数值由 MATLAB 运行结果填入）：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3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参数</w:t>
            </w:r>
          </w:p>
        </w:tc>
        <w:tc>
          <w:tcPr>
            <w:tcW w:type="dxa" w:w="907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真值</w:t>
            </w:r>
          </w:p>
        </w:tc>
        <w:tc>
          <w:tcPr>
            <w:tcW w:type="dxa" w:w="113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后验均值</w:t>
            </w:r>
          </w:p>
        </w:tc>
        <w:tc>
          <w:tcPr>
            <w:tcW w:type="dxa" w:w="1020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MAP</w:t>
            </w:r>
          </w:p>
        </w:tc>
        <w:tc>
          <w:tcPr>
            <w:tcW w:type="dxa" w:w="1020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CI95 低</w:t>
            </w:r>
          </w:p>
        </w:tc>
        <w:tc>
          <w:tcPr>
            <w:tcW w:type="dxa" w:w="1020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CI95 高</w:t>
            </w:r>
          </w:p>
        </w:tc>
        <w:tc>
          <w:tcPr>
            <w:tcW w:type="dxa" w:w="1020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先验中点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η_k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0.8500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0.8500</w:t>
            </w:r>
          </w:p>
        </w:tc>
      </w:tr>
      <w:tr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η_t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0.8900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0.8900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η_m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0.9875</w:t>
            </w:r>
          </w:p>
        </w:tc>
      </w:tr>
      <w:tr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η_v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0.8600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0.8600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η_tv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0.9100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0.9100</w:t>
            </w:r>
          </w:p>
        </w:tc>
      </w:tr>
      <w:tr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η_c1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0.9450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0.9450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η_c2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0.9300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0.9300</w:t>
            </w:r>
          </w:p>
        </w:tc>
      </w:tr>
      <w:tr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σ_cc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0.9900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0.9900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σ_kan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0.9850</w:t>
            </w:r>
          </w:p>
        </w:tc>
      </w:tr>
      <w:tr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σ_kask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0.9850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0.9850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σ_ks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0.9500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0.9500</w:t>
            </w:r>
          </w:p>
        </w:tc>
      </w:tr>
      <w:tr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η_T</w:t>
            </w:r>
          </w:p>
        </w:tc>
        <w:tc>
          <w:tcPr>
            <w:tcW w:type="dxa" w:w="90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0.9800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0.9800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1.0300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1.0300</w:t>
            </w:r>
          </w:p>
        </w:tc>
      </w:tr>
    </w:tbl>
    <w:p/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注：表中"—"处由 MATLAB 运行后实际输出填入。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4.3 后验预测对比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性能指标</w:t>
            </w:r>
          </w:p>
        </w:tc>
        <w:tc>
          <w:tcPr>
            <w:tcW w:type="dxa" w:w="113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真值</w:t>
            </w:r>
          </w:p>
        </w:tc>
        <w:tc>
          <w:tcPr>
            <w:tcW w:type="dxa" w:w="198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观测值（含1%噪声）</w:t>
            </w:r>
          </w:p>
        </w:tc>
        <w:tc>
          <w:tcPr>
            <w:tcW w:type="dxa" w:w="1701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后验均值预测</w:t>
            </w:r>
          </w:p>
        </w:tc>
        <w:tc>
          <w:tcPr>
            <w:tcW w:type="dxa" w:w="1587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MAP 预测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R_ud (N·s/kg)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R*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R* + ε_R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F₁(θ_mean)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F₁(θ_MAP)</w:t>
            </w:r>
          </w:p>
        </w:tc>
      </w:tr>
      <w:tr>
        <w:tc>
          <w:tcPr>
            <w:tcW w:type="dxa" w:w="198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C_ud (kg/(N·h))</w:t>
            </w:r>
          </w:p>
        </w:tc>
        <w:tc>
          <w:tcPr>
            <w:tcW w:type="dxa" w:w="113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C*</w:t>
            </w:r>
          </w:p>
        </w:tc>
        <w:tc>
          <w:tcPr>
            <w:tcW w:type="dxa" w:w="1984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C* + ε_C</w:t>
            </w:r>
          </w:p>
        </w:tc>
        <w:tc>
          <w:tcPr>
            <w:tcW w:type="dxa" w:w="1701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F₂(θ_mean)</w:t>
            </w:r>
          </w:p>
        </w:tc>
        <w:tc>
          <w:tcPr>
            <w:tcW w:type="dxa" w:w="1587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F₂(θ_MAP)</w:t>
            </w:r>
          </w:p>
        </w:tc>
      </w:tr>
    </w:tbl>
    <w:p/>
    <w:p>
      <w:pPr>
        <w:spacing w:before="240" w:after="120"/>
        <w:jc w:val="left"/>
        <w:pBdr>
          <w:bottom w:val="single" w:sz="6" w:space="1" w:color="4472C4"/>
        </w:pBdr>
      </w:pPr>
      <w:r>
        <w:rPr>
          <w:rFonts w:eastAsia="黑体" w:ascii="黑体"/>
          <w:rFonts w:ascii="黑体" w:hAnsi="黑体"/>
          <w:b/>
          <w:sz w:val="32"/>
        </w:rPr>
        <w:t>五、分析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5.1 算法收敛性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链轨迹（Trace Plot）是判断 MCMC 收敛的主要可视化工具。收敛良好的链应表现为：烧入期后在参数真值附近平稳振荡，无明显趋势漂移；链的探索范围覆盖后验分布的主要质量区域；自相关长度适中。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接受率是评估提议分布质量的关键指标。理论上，对于高维问题最优接受率约为 23%，本代码目标区间 [0.18, 0.35] 与此一致。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5.2 可辨识性与参数敏感性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由于输出观测量只有两个（R_ud、C_ud），而待辨识参数多达 13 个，系统存在欠定性：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强可辨识参数（η_k、η_t、η_T 等）：对输出有显著单调影响，后验分布较集中，95% 可信区间明显窄于先验区间。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弱可辨识参数（部分总压恢复系数）：对输出影响较小，后验分布接近均匀先验，说明数据对这些参数的约束力弱。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参数相关性：后验分布中可能出现参数间的正/负相关，意味着数据只能约束参数的某种组合。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5.3 噪声水平的影响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本实验噪声水平为 1%，属于工程中较低噪声。噪声越小，似然函数越尖锐，后验越集中，辨识精度越高。若噪声增大至 5%–10%，则后验分布变宽，弱可辨识参数的后验更趋近先验。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5.4 均匀先验的合理性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均匀先验反映工程专家知识：参数被限制在合理物理范围内，但范围内无偏好，是一种保守而客观的假设。若有更精确的先验信息（如高斯先验），可进一步收窄后验不确定性。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5.5 后验均值 vs. MAP 估计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后验均值 θ_mean 是 L₂ 损失下的贝叶斯最优估计，对后验形状整体敏感，适合后验接近对称分布的情形。MAP 估计 θ_MAP 是后验的众数，链长越短越不稳定。当后验接近单峰对称高斯时，两者趋于一致；差异较大则说明后验存在明显偏斜或多峰结构。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5.6 反射边界的作用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参数有界约束若用截断或拒绝方案处理，会导致边界处采样不足。本代码采用反射边界，在 [0,1] 范围内对 z 空间作折叠反射，保证了边界附近的正确采样密度，是处理有界均匀先验的标准方法。</w:t>
      </w:r>
    </w:p>
    <w:p>
      <w:pPr>
        <w:spacing w:before="240" w:after="120"/>
        <w:jc w:val="left"/>
      </w:pPr>
      <w:r>
        <w:rPr>
          <w:rFonts w:eastAsia="黑体" w:ascii="黑体"/>
          <w:rFonts w:ascii="黑体" w:hAnsi="黑体"/>
          <w:b/>
          <w:sz w:val="28"/>
        </w:rPr>
        <w:t>5.7 局限性与改进方向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3572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局限性</w:t>
            </w:r>
          </w:p>
        </w:tc>
        <w:tc>
          <w:tcPr>
            <w:tcW w:type="dxa" w:w="3458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eastAsia="黑体" w:ascii="黑体"/>
                <w:rFonts w:ascii="黑体" w:hAnsi="黑体"/>
                <w:b/>
                <w:sz w:val="22"/>
              </w:rPr>
              <w:t>潜在改进方向</w:t>
            </w:r>
          </w:p>
        </w:tc>
      </w:tr>
      <w:tr>
        <w:tc>
          <w:tcPr>
            <w:tcW w:type="dxa" w:w="357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单链 MCMC，难以诊断收敛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多链并行，计算 Gelman-Rubin 统计量 R̂</w:t>
            </w:r>
          </w:p>
        </w:tc>
      </w:tr>
      <w:tr>
        <w:tc>
          <w:tcPr>
            <w:tcW w:type="dxa" w:w="357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各维度共享步长，适应性有限</w:t>
            </w:r>
          </w:p>
        </w:tc>
        <w:tc>
          <w:tcPr>
            <w:tcW w:type="dxa" w:w="345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全协方差自适应 MCMC（AM-MCMC）</w:t>
            </w:r>
          </w:p>
        </w:tc>
      </w:tr>
      <w:tr>
        <w:tc>
          <w:tcPr>
            <w:tcW w:type="dxa" w:w="357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仅有两个观测量，系统欠定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增加多工况（不同 M_∞、π_k、T_g）数据</w:t>
            </w:r>
          </w:p>
        </w:tc>
      </w:tr>
      <w:tr>
        <w:tc>
          <w:tcPr>
            <w:tcW w:type="dxa" w:w="3572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MAP 由链内最优样本确定，精度受链长限制</w:t>
            </w:r>
          </w:p>
        </w:tc>
        <w:tc>
          <w:tcPr>
            <w:tcW w:type="dxa" w:w="3458"/>
            <w:vAlign w:val="center"/>
            <w:shd w:val="clear" w:color="auto" w:fill="F2F7FC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后处理阶段用梯度优化精化 MAP</w:t>
            </w:r>
          </w:p>
        </w:tc>
      </w:tr>
      <w:tr>
        <w:tc>
          <w:tcPr>
            <w:tcW w:type="dxa" w:w="3572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链相关性未量化</w:t>
            </w:r>
          </w:p>
        </w:tc>
        <w:tc>
          <w:tcPr>
            <w:tcW w:type="dxa" w:w="3458"/>
            <w:vAlign w:val="center"/>
          </w:tcPr>
          <w:p>
            <w:pPr>
              <w:jc w:val="center"/>
            </w:pPr>
            <w:r>
              <w:rPr>
                <w:rFonts w:eastAsia="宋体" w:ascii="Times New Roman"/>
                <w:rFonts w:ascii="宋体" w:hAnsi="宋体"/>
                <w:b w:val="0"/>
                <w:sz w:val="22"/>
              </w:rPr>
              <w:t>计算有效样本量（ESS）与积分自相关时间（IACT）</w:t>
            </w:r>
          </w:p>
        </w:tc>
      </w:tr>
    </w:tbl>
    <w:p/>
    <w:p>
      <w:pPr>
        <w:spacing w:before="240" w:after="120"/>
        <w:jc w:val="left"/>
        <w:pBdr>
          <w:bottom w:val="single" w:sz="6" w:space="1" w:color="4472C4"/>
        </w:pBdr>
      </w:pPr>
      <w:r>
        <w:rPr>
          <w:rFonts w:eastAsia="黑体" w:ascii="黑体"/>
          <w:rFonts w:ascii="黑体" w:hAnsi="黑体"/>
          <w:b/>
          <w:sz w:val="32"/>
        </w:rPr>
        <w:t>六、结论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本工作构建了涡扇发动机热力学参数的贝叶斯辨识框架，核心贡献包括：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前向模型：实现了从 13 个效率/总压恢复参数到单位比推力和比油耗的完整热力学计算链，包含分段物性参数和涡轮冷却引气效应。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贝叶斯推断：在均匀先验（参数物理范围约束）与高斯似然（1% 测量噪声）框架下，建立了参数的后验分布模型。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自适应 MCMC：采用带反射边界的自适应 Metropolis-Hastings 算法，在变换空间内高效采样 10,000 步（有效后验链 8,000 步），自适应步长确保接受率在合理范围内。</w:t>
      </w:r>
    </w:p>
    <w:p>
      <w:pPr>
        <w:pStyle w:val="ListBullet"/>
        <w:spacing w:after="60" w:line="400" w:lineRule="exact"/>
      </w:pPr>
      <w:r>
        <w:rPr>
          <w:rFonts w:eastAsia="宋体" w:ascii="Times New Roman"/>
          <w:rFonts w:ascii="宋体" w:hAnsi="宋体"/>
          <w:b w:val="0"/>
          <w:sz w:val="24"/>
        </w:rPr>
        <w:t>不确定性量化：提供后验均值、MAP 估计及 95% 可信区间，量化了单次测量条件下各参数的辨识不确定性。</w:t>
      </w:r>
    </w:p>
    <w:p>
      <w:pPr>
        <w:spacing w:after="80" w:line="400" w:lineRule="exact"/>
        <w:ind w:firstLine="480"/>
        <w:jc w:val="both"/>
      </w:pPr>
      <w:r>
        <w:rPr>
          <w:rFonts w:eastAsia="宋体" w:ascii="Times New Roman"/>
          <w:rFonts w:ascii="宋体" w:hAnsi="宋体"/>
          <w:b w:val="0"/>
          <w:sz w:val="24"/>
        </w:rPr>
        <w:t>该框架为航空发动机健康监测与性能退化诊断提供了方法论基础，可扩展至多工况数据融合与实时参数跟踪场景。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