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44"/>
        </w:rPr>
        <w:t>sobol_sensitivity_engine.m</w:t>
        <w:br/>
        <w:t>代码解释文档</w:t>
      </w:r>
    </w:p>
    <w:p>
      <w:pPr>
        <w:jc w:val="center"/>
      </w:pPr>
      <w:r>
        <w:rPr>
          <w:color w:val="404040"/>
          <w:sz w:val="26"/>
        </w:rPr>
        <w:t>航空发动机热力循环 Sobol 全局敏感性分析</w:t>
      </w:r>
    </w:p>
    <w:p/>
    <w:p>
      <w:r>
        <w:br w:type="page"/>
      </w:r>
    </w:p>
    <w:p>
      <w:pPr>
        <w:pStyle w:val="Heading1"/>
        <w:jc w:val="left"/>
      </w:pPr>
      <w:r>
        <w:rPr>
          <w:color w:val="1F497D"/>
        </w:rPr>
        <w:t>1  文件概述</w:t>
      </w:r>
    </w:p>
    <w:p>
      <w:pPr>
        <w:spacing w:after="120"/>
      </w:pPr>
      <w:r>
        <w:rPr>
          <w:b w:val="0"/>
          <w:i w:val="0"/>
          <w:sz w:val="22"/>
        </w:rPr>
        <w:t>sobol_sensitivity_engine.m 是一个用 MATLAB 编写的全局敏感性分析脚本，针对航空涡扇发动机热力循环模型，通过 Sobol 方差分解方法，定量评估 13 个效率/损失参数对两个关键性能输出（比推力 R_ud 和比油耗 C_ud）的影响程度。</w:t>
      </w:r>
    </w:p>
    <w:p>
      <w:pPr>
        <w:spacing w:after="120"/>
      </w:pPr>
      <w:r>
        <w:rPr>
          <w:b w:val="0"/>
          <w:i w:val="0"/>
          <w:sz w:val="22"/>
        </w:rPr>
        <w:t>脚本自上而下依次完成：参数定义 → 工况设置 → Sobol 采样 → 前向模型批量调用 → 敏感性指标估计 → 结果打印与可视化，共 10 个主要模块。</w:t>
      </w:r>
    </w:p>
    <w:p>
      <w:pPr>
        <w:pStyle w:val="Heading1"/>
        <w:jc w:val="left"/>
      </w:pPr>
      <w:r>
        <w:rPr>
          <w:color w:val="1F497D"/>
        </w:rPr>
        <w:t>2  整体流程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BDD7EE"/>
          </w:tcPr>
          <w:p>
            <w:r>
              <w:rPr>
                <w:b/>
                <w:sz w:val="20"/>
              </w:rPr>
              <w:t>步骤</w:t>
            </w:r>
          </w:p>
        </w:tc>
        <w:tc>
          <w:tcPr>
            <w:tcW w:type="dxa" w:w="3041"/>
            <w:shd w:val="clear" w:color="auto" w:fill="BDD7EE"/>
          </w:tcPr>
          <w:p>
            <w:r>
              <w:rPr>
                <w:b/>
                <w:sz w:val="20"/>
              </w:rPr>
              <w:t>名称</w:t>
            </w:r>
          </w:p>
        </w:tc>
        <w:tc>
          <w:tcPr>
            <w:tcW w:type="dxa" w:w="3041"/>
            <w:shd w:val="clear" w:color="auto" w:fill="BDD7EE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rPr>
                <w:sz w:val="20"/>
              </w:rPr>
              <w:t>步骤 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参数定义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设定 13 个参数的名义值、下限 lb 与上限 ub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步骤 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工况设置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固定环境温度、马赫数、涵道比、压比、涡轮入口温度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步骤 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Sobol 采样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利用 sobolset 准随机序列生成 N×2k 维采样矩阵 A、B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步骤 4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计算 f(A) / f(B)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对所有 A、B 行调用前向模型，记录失败次数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步骤 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计算 f(A_Bi)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依次替换第 i 列，构造 k 个混合矩阵并调用模型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步骤 6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指标估计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用 Jansen 估计器计算一阶指标 Si 和总效应指标 STi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步骤 7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结果展示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按 STi 降序打印参数排名表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步骤 8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可视化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为每个输出绘制 Si / STi 双柱状图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  参数定义（代码第 1 节）</w:t>
      </w:r>
    </w:p>
    <w:p>
      <w:pPr>
        <w:spacing w:after="120"/>
      </w:pPr>
      <w:r>
        <w:rPr>
          <w:b w:val="0"/>
          <w:i w:val="0"/>
          <w:sz w:val="22"/>
        </w:rPr>
        <w:t>脚本共定义 13 个输入参数，每个参数均给出名义值（theta0）、下限（lb）和上限（ub）。参数范围来源于发动机性能设计手册中的典型公差带。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BDD7EE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1520"/>
            <w:shd w:val="clear" w:color="auto" w:fill="BDD7EE"/>
          </w:tcPr>
          <w:p>
            <w:r>
              <w:rPr>
                <w:b/>
                <w:sz w:val="20"/>
              </w:rPr>
              <w:t>变量名</w:t>
            </w:r>
          </w:p>
        </w:tc>
        <w:tc>
          <w:tcPr>
            <w:tcW w:type="dxa" w:w="1520"/>
            <w:shd w:val="clear" w:color="auto" w:fill="BDD7EE"/>
          </w:tcPr>
          <w:p>
            <w:r>
              <w:rPr>
                <w:b/>
                <w:sz w:val="20"/>
              </w:rPr>
              <w:t>物理含义</w:t>
            </w:r>
          </w:p>
        </w:tc>
        <w:tc>
          <w:tcPr>
            <w:tcW w:type="dxa" w:w="1520"/>
            <w:shd w:val="clear" w:color="auto" w:fill="BDD7EE"/>
          </w:tcPr>
          <w:p>
            <w:r>
              <w:rPr>
                <w:b/>
                <w:sz w:val="20"/>
              </w:rPr>
              <w:t>名义值</w:t>
            </w:r>
          </w:p>
        </w:tc>
        <w:tc>
          <w:tcPr>
            <w:tcW w:type="dxa" w:w="1520"/>
            <w:shd w:val="clear" w:color="auto" w:fill="BDD7EE"/>
          </w:tcPr>
          <w:p>
            <w:r>
              <w:rPr>
                <w:b/>
                <w:sz w:val="20"/>
              </w:rPr>
              <w:t>下限</w:t>
            </w:r>
          </w:p>
        </w:tc>
        <w:tc>
          <w:tcPr>
            <w:tcW w:type="dxa" w:w="1520"/>
            <w:shd w:val="clear" w:color="auto" w:fill="BDD7EE"/>
          </w:tcPr>
          <w:p>
            <w:r>
              <w:rPr>
                <w:b/>
                <w:sz w:val="20"/>
              </w:rPr>
              <w:t>上限</w:t>
            </w:r>
          </w:p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  <w:tc>
          <w:tcPr>
            <w:tcW w:type="dxa" w:w="1520"/>
          </w:tcPr>
          <w:p/>
        </w:tc>
      </w:tr>
      <w:tr>
        <w:tc>
          <w:tcPr>
            <w:tcW w:type="dxa" w:w="15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eta_k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压气机等熵效率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0.850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0.840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0.860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eta_t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涡轮等熵效率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0.890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0.860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0.920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eta_m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机械传动效率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0.988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0.980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0.995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eta_v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冷喷管速度系数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0.860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0.850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0.870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eta_tv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热喷管速度系数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0.910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0.900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0.920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eta_c1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内涵道喷管效率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0.945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0.940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0.950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eta_c2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外涵道喷管效率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0.930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0.920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0.940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sigma_cc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燃烧室总压恢复系数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0.990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0.980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1.000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sigma_kan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进气道总压恢复系数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0.985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0.980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0.990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sigma_kask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级间导管总压恢复系数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0.985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0.980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0.990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sigma_ks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喷管总压恢复系数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0.950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0.940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0.960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eta_T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涡轮冷却效率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0.980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0.970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0.990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lambda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喷管面积比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1.030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1.020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1.040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  工况条件（代码第 2 节）</w:t>
      </w:r>
    </w:p>
    <w:p>
      <w:pPr>
        <w:spacing w:after="120"/>
      </w:pPr>
      <w:r>
        <w:rPr>
          <w:b w:val="0"/>
          <w:i w:val="0"/>
          <w:sz w:val="22"/>
        </w:rPr>
        <w:t>工况参数固定不变，代表地面静止起飞状态下的标准大气条件：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sz w:val="20"/>
              </w:rPr>
              <w:t>变量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sz w:val="20"/>
              </w:rPr>
              <w:t>值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sz w:val="20"/>
              </w:rPr>
              <w:t>单位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>
            <w:r>
              <w:rPr>
                <w:sz w:val="20"/>
              </w:rPr>
              <w:t>cond.T_H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288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K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环境大气温度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cond.M_flight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飞行马赫数（地面静止）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cond.m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涵道比（旁通比）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cond.pi_k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33.0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压气机总压比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cond.T_g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1700.0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K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涡轮进口总温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  Sobol 采样矩阵（代码第 3–4 节）</w:t>
      </w:r>
    </w:p>
    <w:p>
      <w:pPr>
        <w:spacing w:after="120"/>
      </w:pPr>
      <w:r>
        <w:rPr>
          <w:b w:val="0"/>
          <w:i w:val="0"/>
          <w:sz w:val="22"/>
        </w:rPr>
        <w:t>Sobol 方法需要构造两个相互独立的 N×k 维参数矩阵 A 和 B。脚本优先使用 MATLAB 的 sobolset（需要 Statistics &amp; ML Toolbox）生成低差异准随机序列，若工具箱不可用则回退至伪随机均匀分布。</w:t>
      </w:r>
    </w:p>
    <w:p>
      <w:pPr>
        <w:spacing w:after="120"/>
      </w:pPr>
      <w:r>
        <w:rPr>
          <w:b w:val="0"/>
          <w:i w:val="0"/>
          <w:sz w:val="22"/>
        </w:rPr>
        <w:t>关键参数：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BDD7EE"/>
          </w:tcPr>
          <w:p>
            <w:r>
              <w:rPr>
                <w:b/>
                <w:sz w:val="20"/>
              </w:rPr>
              <w:t>变量</w:t>
            </w:r>
          </w:p>
        </w:tc>
        <w:tc>
          <w:tcPr>
            <w:tcW w:type="dxa" w:w="3041"/>
            <w:shd w:val="clear" w:color="auto" w:fill="BDD7EE"/>
          </w:tcPr>
          <w:p>
            <w:r>
              <w:rPr>
                <w:b/>
                <w:sz w:val="20"/>
              </w:rPr>
              <w:t>值</w:t>
            </w:r>
          </w:p>
        </w:tc>
        <w:tc>
          <w:tcPr>
            <w:tcW w:type="dxa" w:w="3041"/>
            <w:shd w:val="clear" w:color="auto" w:fill="BDD7EE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10,000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基础样本数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k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参数维度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总调用次数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N×(2k+2) = 280,000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含 f(A)、f(B)、k 个 f(A_Bi)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采样流程：</w:t>
      </w:r>
    </w:p>
    <w:p>
      <w:pPr>
        <w:spacing w:after="120"/>
      </w:pPr>
      <w:r>
        <w:rPr>
          <w:b w:val="0"/>
          <w:i w:val="0"/>
          <w:sz w:val="22"/>
        </w:rPr>
        <w:t>① 生成 N×2k 的 [0,1] 均匀序列 UV；② 前 k 列记为 U_A，后 k 列记为 U_B；③ 用线性变换将 [0,1] 缩放到 [lb, ub]，得到矩阵 A 与 B。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color w:val="000080"/>
          <w:sz w:val="18"/>
        </w:rPr>
        <w:t>A = lb + U_A .* (ub - lb)   % N×k，参数矩阵 A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color w:val="000080"/>
          <w:sz w:val="18"/>
        </w:rPr>
        <w:t>B = lb + U_B .* (ub - lb)   % N×k，参数矩阵 B</w:t>
      </w:r>
    </w:p>
    <w:p/>
    <w:p>
      <w:pPr>
        <w:pStyle w:val="Heading1"/>
        <w:jc w:val="left"/>
      </w:pPr>
      <w:r>
        <w:rPr>
          <w:color w:val="1F497D"/>
        </w:rPr>
        <w:t>6  前向模型批量调用（代码第 5–6 节）</w:t>
      </w:r>
    </w:p>
    <w:p>
      <w:pPr>
        <w:spacing w:after="120"/>
      </w:pPr>
      <w:r>
        <w:rPr>
          <w:b w:val="0"/>
          <w:i w:val="0"/>
          <w:sz w:val="22"/>
        </w:rPr>
        <w:t>脚本依次对矩阵 A、B 的每一行，以及 k 个混合矩阵 A_Bi 的每一行，调用局部函数 engine_forward，并记录无效（非有限或非正）结果的数量。</w:t>
      </w:r>
    </w:p>
    <w:p>
      <w:pPr>
        <w:spacing w:after="120"/>
      </w:pPr>
      <w:r>
        <w:rPr>
          <w:b/>
          <w:i w:val="0"/>
          <w:sz w:val="22"/>
        </w:rPr>
        <w:t>混合矩阵 A_Bi 的构造规则：</w:t>
      </w:r>
    </w:p>
    <w:p>
      <w:pPr>
        <w:spacing w:after="120"/>
      </w:pPr>
      <w:r>
        <w:rPr>
          <w:b w:val="0"/>
          <w:i w:val="0"/>
          <w:sz w:val="22"/>
        </w:rPr>
        <w:t>A_Bi 与 A 完全相同，唯独第 i 列被 B 的第 i 列替换。这一操作使得参数 i 在 A_Bi 中取自 B，其余参数仍来自 A，从而隔离参数 i 对输出方差的单独贡献。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color w:val="000080"/>
          <w:sz w:val="18"/>
        </w:rPr>
        <w:t>ABi       = A;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color w:val="000080"/>
          <w:sz w:val="18"/>
        </w:rPr>
        <w:t>ABi(:, j) = B(:, j);   % 仅替换第 j 列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color w:val="000080"/>
          <w:sz w:val="18"/>
        </w:rPr>
        <w:t>[y, ~]    = engine_forward(ABi(i,:), cond);</w:t>
      </w:r>
    </w:p>
    <w:p/>
    <w:p>
      <w:pPr>
        <w:pStyle w:val="Heading1"/>
        <w:jc w:val="left"/>
      </w:pPr>
      <w:r>
        <w:rPr>
          <w:color w:val="1F497D"/>
        </w:rPr>
        <w:t>7  Sobol 敏感性指标估计（代码第 7 节）</w:t>
      </w:r>
    </w:p>
    <w:p>
      <w:pPr>
        <w:pStyle w:val="Heading2"/>
        <w:jc w:val="left"/>
      </w:pPr>
      <w:r>
        <w:rPr>
          <w:color w:val="1F497D"/>
        </w:rPr>
        <w:t>7.1  总体方差 Var(Y)</w:t>
      </w:r>
    </w:p>
    <w:p>
      <w:pPr>
        <w:spacing w:after="120"/>
      </w:pPr>
      <w:r>
        <w:rPr>
          <w:b w:val="0"/>
          <w:i w:val="0"/>
          <w:sz w:val="22"/>
        </w:rPr>
        <w:t>将 f(A) 和 f(B) 中均有效的行合并后计算样本方差，作为输出的总体方差 Var(Y)。若有效样本不足 20 个或方差近似为零，则跳过该输出的计算并给出警告。</w:t>
      </w:r>
    </w:p>
    <w:p>
      <w:pPr>
        <w:pStyle w:val="Heading2"/>
        <w:jc w:val="left"/>
      </w:pPr>
      <w:r>
        <w:rPr>
          <w:color w:val="1F497D"/>
        </w:rPr>
        <w:t>7.2  一阶敏感性指标 Si（Jansen 版）</w:t>
      </w:r>
    </w:p>
    <w:p>
      <w:pPr>
        <w:spacing w:after="120"/>
      </w:pPr>
      <w:r>
        <w:rPr>
          <w:b w:val="0"/>
          <w:i w:val="0"/>
          <w:sz w:val="22"/>
        </w:rPr>
        <w:t>一阶指标反映参数 i 单独对输出方差的直接贡献比例，采用 Jansen（1999）公式：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color w:val="000080"/>
          <w:sz w:val="18"/>
        </w:rPr>
        <w:t>Si(j) = 1 - mean( (fB - fABi).^2 ) / (2 * Var(Y))</w:t>
      </w:r>
    </w:p>
    <w:p/>
    <w:p>
      <w:pPr>
        <w:spacing w:after="120"/>
      </w:pPr>
      <w:r>
        <w:rPr>
          <w:b w:val="0"/>
          <w:i w:val="0"/>
          <w:sz w:val="22"/>
        </w:rPr>
        <w:t>相比 Saltelli（2002）的原始公式，Jansen 版本在 Si 接近 0 时更稳定，可有效避免因数值噪声产生的伪负值。</w:t>
      </w:r>
    </w:p>
    <w:p>
      <w:pPr>
        <w:pStyle w:val="Heading2"/>
        <w:jc w:val="left"/>
      </w:pPr>
      <w:r>
        <w:rPr>
          <w:color w:val="1F497D"/>
        </w:rPr>
        <w:t>7.3  总效应指标 STi（Jansen 1999）</w:t>
      </w:r>
    </w:p>
    <w:p>
      <w:pPr>
        <w:spacing w:after="120"/>
      </w:pPr>
      <w:r>
        <w:rPr>
          <w:b w:val="0"/>
          <w:i w:val="0"/>
          <w:sz w:val="22"/>
        </w:rPr>
        <w:t>总效应指标衡量参数 i 的直接贡献与所有高阶交互效应之和，采用公式：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color w:val="000080"/>
          <w:sz w:val="18"/>
        </w:rPr>
        <w:t>STi(j) = mean( (fA - fABi).^2 ) / (2 * Var(Y))</w:t>
      </w:r>
    </w:p>
    <w:p/>
    <w:p>
      <w:pPr>
        <w:spacing w:after="120"/>
      </w:pPr>
      <w:r>
        <w:rPr>
          <w:b w:val="0"/>
          <w:i w:val="0"/>
          <w:sz w:val="22"/>
        </w:rPr>
        <w:t>STi ≥ Si。若 STi &gt;&gt; Si，说明参数 i 存在显著的参数交互效应；若 Si ≈ STi ≈ 0，则该参数对输出几乎没有影响，可在后续分析中固定。</w:t>
      </w:r>
    </w:p>
    <w:p>
      <w:pPr>
        <w:pStyle w:val="Heading2"/>
        <w:jc w:val="left"/>
      </w:pPr>
      <w:r>
        <w:rPr>
          <w:color w:val="1F497D"/>
        </w:rPr>
        <w:t>7.4  有效样本筛选</w:t>
      </w:r>
    </w:p>
    <w:p>
      <w:pPr>
        <w:spacing w:after="120"/>
      </w:pPr>
      <w:r>
        <w:rPr>
          <w:b w:val="0"/>
          <w:i w:val="0"/>
          <w:sz w:val="22"/>
        </w:rPr>
        <w:t>对每个参数 j，仅保留 f(A)、f(B)、f(A_Bj) 三者均为有限正值的行（valid 行），以避免模型失败点污染估计结果。若有效行数不足 20，同样跳过并报警。</w:t>
      </w:r>
    </w:p>
    <w:p>
      <w:pPr>
        <w:pStyle w:val="Heading1"/>
        <w:jc w:val="left"/>
      </w:pPr>
      <w:r>
        <w:rPr>
          <w:color w:val="1F497D"/>
        </w:rPr>
        <w:t>8  前向模型 engine_forward（局部函数）</w:t>
      </w:r>
    </w:p>
    <w:p>
      <w:pPr>
        <w:spacing w:after="120"/>
      </w:pPr>
      <w:r>
        <w:rPr>
          <w:b w:val="0"/>
          <w:i w:val="0"/>
          <w:sz w:val="22"/>
        </w:rPr>
        <w:t>engine_forward 接受一行参数向量 theta（1×13）和工况结构体 cond，返回两个性能指标 y = [R_ud, C_ud]，以及包含中间量的辅助结构体 aux。任何中间步骤失效均提前返回 [NaN, NaN]。</w:t>
      </w:r>
    </w:p>
    <w:p>
      <w:pPr>
        <w:pStyle w:val="Heading2"/>
        <w:jc w:val="left"/>
      </w:pPr>
      <w:r>
        <w:rPr>
          <w:color w:val="1F497D"/>
        </w:rPr>
        <w:t>8.1  计算流程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BDD7EE"/>
          </w:tcPr>
          <w:p>
            <w:r>
              <w:rPr>
                <w:b/>
                <w:sz w:val="20"/>
              </w:rPr>
              <w:t>步骤</w:t>
            </w:r>
          </w:p>
        </w:tc>
        <w:tc>
          <w:tcPr>
            <w:tcW w:type="dxa" w:w="3041"/>
            <w:shd w:val="clear" w:color="auto" w:fill="BDD7EE"/>
          </w:tcPr>
          <w:p>
            <w:r>
              <w:rPr>
                <w:b/>
                <w:sz w:val="20"/>
              </w:rPr>
              <w:t>计算内容</w:t>
            </w:r>
          </w:p>
        </w:tc>
        <w:tc>
          <w:tcPr>
            <w:tcW w:type="dxa" w:w="3041"/>
            <w:shd w:val="clear" w:color="auto" w:fill="BDD7EE"/>
          </w:tcPr>
          <w:p>
            <w:r>
              <w:rPr>
                <w:b/>
                <w:sz w:val="20"/>
              </w:rPr>
              <w:t>关键公式/说明</w:t>
            </w:r>
          </w:p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声速与飞行速度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 = sqrt(1.4×287.3×T_H)；V_flight = a×M_flight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进气道总压比 tau_v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tau_v = (1 + V²/(2×cp×T_H))^(γ/(γ-1))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压气机出口温度 T_k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T_k = T_B × (1 + (π_k^((γ-1)/γ) - 1) / eta_k)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冷却空气质量分数 g_T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g_T = 3e-5×T_g - 2.69e-5×T_k - 0.003，需 &gt; 0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热恢复系数 lambda_heat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比较压气机功与燃气焓值之比得到热平衡系数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单位功 L_sv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L_sv = lambda_heat × (涡轮膨胀功 - 压气机功/效率)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面积分配系数 x_pc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最优分配内/外涵道喷管出口动能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喷流速度 V_j1/V_j2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内、外涵道喷流速度，均须≥0才继续计算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比推力 R_ud [N·s/kg]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R_ud = V_j1/(1+m) + m×V_j2/(1+m)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比油耗 C_ud [kg/(N·h)]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C_ud = 3600×g_T×(1-δ) / (R_ud×(1+m))</w:t>
            </w:r>
          </w:p>
        </w:tc>
      </w:tr>
    </w:tbl>
    <w:p/>
    <w:p>
      <w:pPr>
        <w:pStyle w:val="Heading2"/>
        <w:jc w:val="left"/>
      </w:pPr>
      <w:r>
        <w:rPr>
          <w:color w:val="1F497D"/>
        </w:rPr>
        <w:t>8.2  物性辅助函数</w:t>
      </w:r>
    </w:p>
    <w:p>
      <w:pPr>
        <w:spacing w:after="120"/>
      </w:pPr>
      <w:r>
        <w:rPr>
          <w:b w:val="0"/>
          <w:i w:val="0"/>
          <w:sz w:val="22"/>
        </w:rPr>
        <w:t>三个分段函数根据涡轮进口温度 T_g 返回燃气热力学参数：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BDD7EE"/>
          </w:tcPr>
          <w:p>
            <w:r>
              <w:rPr>
                <w:b/>
                <w:sz w:val="20"/>
              </w:rPr>
              <w:t>函数名</w:t>
            </w:r>
          </w:p>
        </w:tc>
        <w:tc>
          <w:tcPr>
            <w:tcW w:type="dxa" w:w="1824"/>
            <w:shd w:val="clear" w:color="auto" w:fill="BDD7EE"/>
          </w:tcPr>
          <w:p>
            <w:r>
              <w:rPr>
                <w:b/>
                <w:sz w:val="20"/>
              </w:rPr>
              <w:t>输出</w:t>
            </w:r>
          </w:p>
        </w:tc>
        <w:tc>
          <w:tcPr>
            <w:tcW w:type="dxa" w:w="1824"/>
            <w:shd w:val="clear" w:color="auto" w:fill="BDD7EE"/>
          </w:tcPr>
          <w:p>
            <w:r>
              <w:rPr>
                <w:b/>
                <w:sz w:val="20"/>
              </w:rPr>
              <w:t>T_g ≤ 1400 K</w:t>
            </w:r>
          </w:p>
        </w:tc>
        <w:tc>
          <w:tcPr>
            <w:tcW w:type="dxa" w:w="1824"/>
            <w:shd w:val="clear" w:color="auto" w:fill="BDD7EE"/>
          </w:tcPr>
          <w:p>
            <w:r>
              <w:rPr>
                <w:b/>
                <w:sz w:val="20"/>
              </w:rPr>
              <w:t>1400 &lt; T_g ≤ 1600 K</w:t>
            </w:r>
          </w:p>
        </w:tc>
        <w:tc>
          <w:tcPr>
            <w:tcW w:type="dxa" w:w="1824"/>
            <w:shd w:val="clear" w:color="auto" w:fill="BDD7EE"/>
          </w:tcPr>
          <w:p>
            <w:r>
              <w:rPr>
                <w:b/>
                <w:sz w:val="20"/>
              </w:rPr>
              <w:t>T_g &gt; 1600 K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20"/>
              </w:rPr>
              <w:t>piecewise_kT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绝热指数 kT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1.33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1.30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1.25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piecewise_RT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燃气常数 RT (J/(kg·K))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287.6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288.0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288.6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delta_cooling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冷却引气系数 δ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max(0, min(0.15, 0.02+(T_g-1200)/100×0.02))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同左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同左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9  结果输出与可视化（代码第 8–10 节）</w:t>
      </w:r>
    </w:p>
    <w:p>
      <w:pPr>
        <w:pStyle w:val="Heading2"/>
        <w:jc w:val="left"/>
      </w:pPr>
      <w:r>
        <w:rPr>
          <w:color w:val="1F497D"/>
        </w:rPr>
        <w:t>9.1  排名表（命令行输出）</w:t>
      </w:r>
    </w:p>
    <w:p>
      <w:pPr>
        <w:spacing w:after="120"/>
      </w:pPr>
      <w:r>
        <w:rPr>
          <w:b w:val="0"/>
          <w:i w:val="0"/>
          <w:sz w:val="22"/>
        </w:rPr>
        <w:t>针对每个输出变量（R_ud 和 C_ud），将 k 个参数按 STi 降序排列，打印含参数名、Si 和 STi 的格式化表格，便于快速判断敏感参数。</w:t>
      </w:r>
    </w:p>
    <w:p>
      <w:pPr>
        <w:pStyle w:val="Heading2"/>
        <w:jc w:val="left"/>
      </w:pPr>
      <w:r>
        <w:rPr>
          <w:color w:val="1F497D"/>
        </w:rPr>
        <w:t>9.2  失败统计</w:t>
      </w:r>
    </w:p>
    <w:p>
      <w:pPr>
        <w:spacing w:after="120"/>
      </w:pPr>
      <w:r>
        <w:rPr>
          <w:b w:val="0"/>
          <w:i w:val="0"/>
          <w:sz w:val="22"/>
        </w:rPr>
        <w:t>汇总 f(A)、f(B) 以及各 f(A_Bi) 的失败次数和总失败率，用于评估模型在参数空间内的稳定性。失败率过高时需重新审视参数范围或物理约束。</w:t>
      </w:r>
    </w:p>
    <w:p>
      <w:pPr>
        <w:pStyle w:val="Heading2"/>
        <w:jc w:val="left"/>
      </w:pPr>
      <w:r>
        <w:rPr>
          <w:color w:val="1F497D"/>
        </w:rPr>
        <w:t>9.3  柱状图</w:t>
      </w:r>
    </w:p>
    <w:p>
      <w:pPr>
        <w:spacing w:after="120"/>
      </w:pPr>
      <w:r>
        <w:rPr>
          <w:b w:val="0"/>
          <w:i w:val="0"/>
          <w:sz w:val="22"/>
        </w:rPr>
        <w:t>为每个输出分别生成一张双柱图（蓝色 Si，红橙色 STi），X 轴为按 STi 降序排列的参数名，Y 轴为敏感性指标值，并在柱顶标注数值（绝对值 &gt; 0.005 的才标注），方便直观比较。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color w:val="000080"/>
          <w:sz w:val="18"/>
        </w:rPr>
        <w:t>bar(x_pos - bw/2, Si_p,  bw, 'FaceColor', [0.22 0.51 0.80])  % 蓝色：Si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color w:val="000080"/>
          <w:sz w:val="18"/>
        </w:rPr>
        <w:t>bar(x_pos + bw/2, STi_p, bw, 'FaceColor', [0.88 0.30 0.18])  % 红橙：STi</w:t>
      </w:r>
    </w:p>
    <w:p/>
    <w:p>
      <w:pPr>
        <w:pStyle w:val="Heading1"/>
        <w:jc w:val="left"/>
      </w:pPr>
      <w:r>
        <w:rPr>
          <w:color w:val="1F497D"/>
        </w:rPr>
        <w:t>10  如何解读分析结果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sz w:val="20"/>
              </w:rPr>
              <w:t>情形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sz w:val="20"/>
              </w:rPr>
              <w:t>Si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sz w:val="20"/>
              </w:rPr>
              <w:t>STi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sz w:val="20"/>
              </w:rPr>
              <w:t>含义与建议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>
            <w:r>
              <w:rPr>
                <w:sz w:val="20"/>
              </w:rPr>
              <w:t>高度敏感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该参数是主控因素，应重点精确标定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交互主导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参数与其他参数存在强交互，需联合分析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弱敏感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对输出影响可忽略，可在不确定性分析中固定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一阶为主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≈STi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≈STi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参数独立主导，交互效应弱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一般将 STi &lt; 0.05 的参数视为不重要参数，可在后续 TMCMC 等反演分析中固定为名义值，以降低参数维度和计算量。</w:t>
      </w:r>
    </w:p>
    <w:p>
      <w:pPr>
        <w:pStyle w:val="Heading1"/>
        <w:jc w:val="left"/>
      </w:pPr>
      <w:r>
        <w:rPr>
          <w:color w:val="1F497D"/>
        </w:rPr>
        <w:t>11  注意事项与局限性</w:t>
      </w:r>
    </w:p>
    <w:p>
      <w:pPr>
        <w:pStyle w:val="ListBullet"/>
        <w:spacing w:after="80"/>
      </w:pPr>
      <w:r>
        <w:rPr>
          <w:sz w:val="22"/>
        </w:rPr>
        <w:t>工具箱依赖：Sobol 准随机采样需要 Statistics and Machine Learning Toolbox；若不可用，脚本自动回退至伪随机均匀采样，低差异性略有下降。</w:t>
      </w:r>
    </w:p>
    <w:p>
      <w:pPr>
        <w:pStyle w:val="ListBullet"/>
        <w:spacing w:after="80"/>
      </w:pPr>
      <w:r>
        <w:rPr>
          <w:sz w:val="22"/>
        </w:rPr>
        <w:t>样本量：N=10,000 对 13 维问题总体已够用，但对于 Si 接近 0 的弱敏感参数，估计方差较大；如需更高精度可提升至 N=50,000 以上。</w:t>
      </w:r>
    </w:p>
    <w:p>
      <w:pPr>
        <w:pStyle w:val="ListBullet"/>
        <w:spacing w:after="80"/>
      </w:pPr>
      <w:r>
        <w:rPr>
          <w:sz w:val="22"/>
        </w:rPr>
        <w:t>参数范围：当前范围为窄带（±0.5%～±3%），反映制造/测量公差；若改变范围，Si/STi 结果会随之变化。</w:t>
      </w:r>
    </w:p>
    <w:p>
      <w:pPr>
        <w:pStyle w:val="ListBullet"/>
        <w:spacing w:after="80"/>
      </w:pPr>
      <w:r>
        <w:rPr>
          <w:sz w:val="22"/>
        </w:rPr>
        <w:t>模型有效性：前向模型在极端参数组合下可能失效（返回 NaN），脚本已做捕获处理，但若失败率超过 5%，需检查参数上下界是否合理。</w:t>
      </w:r>
    </w:p>
    <w:p>
      <w:pPr>
        <w:pStyle w:val="ListBullet"/>
        <w:spacing w:after="80"/>
      </w:pPr>
      <w:r>
        <w:rPr>
          <w:sz w:val="22"/>
        </w:rPr>
        <w:t>静态工况：当前仅分析地面静止（M=0）单一工况；多工况联合分析需在外层循环中修改 cond 结构体。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