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5DF8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1. Table of Assumptions: Units, Usage Levels, and Illustrative Unit Prices</w:t>
      </w:r>
    </w:p>
    <w:p w14:paraId="1CB61188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>The cost model is established based on assumed parameters and explicitly labeled as illustrative unit prices, not actual provider quotations from cloud service providers: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3"/>
        <w:gridCol w:w="1473"/>
        <w:gridCol w:w="1569"/>
        <w:gridCol w:w="3561"/>
      </w:tblGrid>
      <w:tr w14:paraId="560E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7B1F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Cost Item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86BD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Assumed Usage Level</w:t>
            </w:r>
          </w:p>
        </w:tc>
        <w:tc>
          <w:tcPr>
            <w:tcW w:w="15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A812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Illustrative Unit Price (USD)</w:t>
            </w:r>
          </w:p>
        </w:tc>
        <w:tc>
          <w:tcPr>
            <w:tcW w:w="3561" w:type="dxa"/>
            <w:tcBorders>
              <w:left w:val="single" w:color="auto" w:sz="4" w:space="0"/>
              <w:bottom w:val="single" w:color="auto" w:sz="4" w:space="0"/>
            </w:tcBorders>
            <w:shd w:val="clear"/>
            <w:vAlign w:val="center"/>
          </w:tcPr>
          <w:p w14:paraId="516928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Basis and Calculation Rules</w:t>
            </w:r>
          </w:p>
        </w:tc>
      </w:tr>
      <w:tr w14:paraId="002DA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8577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Virtual Machine Compute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707F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60 hours &amp; 720 hours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3748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0.0400 / hour</w:t>
            </w:r>
          </w:p>
        </w:tc>
        <w:tc>
          <w:tcPr>
            <w:tcW w:w="3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/>
            <w:vAlign w:val="center"/>
          </w:tcPr>
          <w:p w14:paraId="211522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Calculated based on total virtual machine active uptime.</w:t>
            </w:r>
          </w:p>
        </w:tc>
      </w:tr>
      <w:tr w14:paraId="0AC86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020A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Provisioned Storage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F3E2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10 GB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2511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0.0200 / GB-month</w:t>
            </w:r>
          </w:p>
        </w:tc>
        <w:tc>
          <w:tcPr>
            <w:tcW w:w="3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/>
            <w:vAlign w:val="center"/>
          </w:tcPr>
          <w:p w14:paraId="0987B28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Fixed block storage allocation provisioned for the entire month.</w:t>
            </w:r>
          </w:p>
        </w:tc>
      </w:tr>
      <w:tr w14:paraId="699E8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D4FE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Request Volume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2926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2,000,000 requests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A699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0.2000 / 1,000,000 requests</w:t>
            </w:r>
          </w:p>
        </w:tc>
        <w:tc>
          <w:tcPr>
            <w:tcW w:w="3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/>
            <w:vAlign w:val="center"/>
          </w:tcPr>
          <w:p w14:paraId="233392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Billed per unit of one million processed requests.</w:t>
            </w:r>
          </w:p>
        </w:tc>
      </w:tr>
      <w:tr w14:paraId="7509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182B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Outbound Data Egress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3099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5 GB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DC36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0.0900 / GB</w:t>
            </w:r>
          </w:p>
        </w:tc>
        <w:tc>
          <w:tcPr>
            <w:tcW w:w="3561" w:type="dxa"/>
            <w:tcBorders>
              <w:top w:val="single" w:color="auto" w:sz="4" w:space="0"/>
              <w:left w:val="single" w:color="auto" w:sz="4" w:space="0"/>
            </w:tcBorders>
            <w:shd w:val="clear"/>
            <w:vAlign w:val="center"/>
          </w:tcPr>
          <w:p w14:paraId="5E784A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Volume of data transferred out of the cloud infrastructure.</w:t>
            </w:r>
          </w:p>
        </w:tc>
      </w:tr>
    </w:tbl>
    <w:p w14:paraId="39560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847A621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2. Detailed Cost Calculation Results for 60-Hour and 720-Hour Scenarios</w:t>
      </w:r>
    </w:p>
    <w:p w14:paraId="608DDA0B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>The financial figures are processed using high-precision floating-point algorithms, summing all unrounded component costs prior to formatting to two decimal places:</w:t>
      </w:r>
    </w:p>
    <w:p w14:paraId="525C1B81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2E9F626B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269C3E24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643BE7AF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6F4F6A5B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779CAE58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75FC6622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55F1DAD9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p w14:paraId="110C13F6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2"/>
        <w:gridCol w:w="2269"/>
        <w:gridCol w:w="1373"/>
        <w:gridCol w:w="1406"/>
        <w:gridCol w:w="1366"/>
      </w:tblGrid>
      <w:tr w14:paraId="483C7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A780C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Cost Item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1FB6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Calculation Formula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50C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60-Hour Scenario (USD)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4528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720-Hour Scenario (USD)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A1D1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Cost Share (720h Mark)</w:t>
            </w:r>
          </w:p>
        </w:tc>
      </w:tr>
      <w:tr w14:paraId="27E50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E16A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Virtual Machine Compute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5F2A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Compute Hours × Hourly 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8A87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2.40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8DFF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28.80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03CA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96.48%</w:t>
            </w:r>
          </w:p>
        </w:tc>
      </w:tr>
      <w:tr w14:paraId="5B1B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721F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Provisioned Storage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5285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Storage Volume (GB) × Monthly 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2341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4F27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A268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0.67%</w:t>
            </w:r>
          </w:p>
        </w:tc>
      </w:tr>
      <w:tr w14:paraId="6D399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9E56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Request Volume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163F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(Request Count / 1,000,000) × Rate per Million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8377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609E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FE7A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1.34%</w:t>
            </w:r>
          </w:p>
        </w:tc>
      </w:tr>
      <w:tr w14:paraId="74E89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57DF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Outbound Data Egress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3D08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Egress Volume (GB) × Rate per GB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49F6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1DFC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0.45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1B48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1.51%</w:t>
            </w:r>
          </w:p>
        </w:tc>
      </w:tr>
      <w:tr w14:paraId="07E71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EC1F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TOTAL ESTIMATED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A693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Sum of 4 Cost Components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EE72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3.45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F6B1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29.85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5EBC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sz w:val="26"/>
                <w:szCs w:val="26"/>
              </w:rPr>
            </w:pPr>
            <w:r>
              <w:rPr>
                <w:rFonts w:hint="default" w:ascii="Times New Roman" w:hAnsi="Times New Roman" w:eastAsia="Roboto" w:cs="Times New Roman"/>
                <w:b w:val="0"/>
                <w:bCs w:val="0"/>
                <w:i w:val="0"/>
                <w:iCs w:val="0"/>
                <w:spacing w:val="0"/>
                <w:kern w:val="0"/>
                <w:sz w:val="26"/>
                <w:szCs w:val="26"/>
                <w:lang w:val="en-US" w:eastAsia="zh-CN" w:bidi="ar"/>
              </w:rPr>
              <w:t>100.00%</w:t>
            </w:r>
          </w:p>
        </w:tc>
      </w:tr>
    </w:tbl>
    <w:p w14:paraId="1D737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C991D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3. Analysis of Cost Variation When Increasing Compute Duration (60 Hours to 720 Hours)</w:t>
      </w:r>
    </w:p>
    <w:p w14:paraId="26F0E5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Linear Cost Scaling of Compute over Time: Virtual machine compute cost increases exactly 12-fold (from $2.40 to $28.80), corresponding directly to the 12-fold increase in operational duration from 60 hours to 720 hours.</w:t>
      </w:r>
    </w:p>
    <w:p w14:paraId="27BFA8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Fixed Behavior of Non-Compute Resources:</w:t>
      </w:r>
    </w:p>
    <w:p w14:paraId="7B79553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260"/>
        </w:tabs>
        <w:spacing w:before="0" w:beforeAutospacing="1" w:after="0" w:afterAutospacing="1" w:line="360" w:lineRule="auto"/>
        <w:ind w:left="1260" w:leftChars="0" w:hanging="4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Provisioned storage is billed as a flat monthly rate for 10 GB, keeping storage cost constant at $0.20 across both scenarios.</w:t>
      </w:r>
    </w:p>
    <w:p w14:paraId="6939DC8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260"/>
        </w:tabs>
        <w:spacing w:before="0" w:beforeAutospacing="1" w:after="0" w:afterAutospacing="1" w:line="360" w:lineRule="auto"/>
        <w:ind w:left="1260" w:leftChars="0" w:hanging="4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Total request count (2,000,000 requests) and outbound data volume (5 GB) remain fixed per problem definition, leaving request cost ($0.40) and egress cost ($0.45) unchanged.</w:t>
      </w:r>
    </w:p>
    <w:p w14:paraId="7F62390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260"/>
        </w:tabs>
        <w:spacing w:before="0" w:beforeAutospacing="1" w:after="0" w:afterAutospacing="1"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Shift in Cost Distribution: In the 60-hour scenario, compute accounts for 69.57% of total expenditure. When scaling to 720 hours (continuous 24/7 monthly operation), compute becomes the overwhelming driver, representing 96.48% of the total monthly bill.</w:t>
      </w:r>
    </w:p>
    <w:p w14:paraId="7C6305C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4. Three Excluded Charges Not Included in the Simplified Model</w:t>
      </w:r>
    </w:p>
    <w:p w14:paraId="05FABA0F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kern w:val="0"/>
          <w:sz w:val="26"/>
          <w:szCs w:val="26"/>
          <w:lang w:val="en-US" w:eastAsia="zh-CN" w:bidi="ar"/>
        </w:rPr>
        <w:t>In actual cloud operations, three major categories of operational fees are excluded from this basic estimation model but incur real costs:</w:t>
      </w:r>
    </w:p>
    <w:p w14:paraId="2F7C5D1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5"/>
        </w:tabs>
        <w:spacing w:before="0" w:beforeAutospacing="1" w:after="0" w:afterAutospacing="1" w:line="360" w:lineRule="auto"/>
        <w:ind w:left="1265" w:leftChars="0" w:hanging="425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Orphaned Storage Volumes, Snapshots, and Log Storage: Residual unattached storage volumes remaining after instance termination, storage fees for volume backup snapshots, and ingestion/retention costs for system audit logs.</w:t>
      </w:r>
    </w:p>
    <w:p w14:paraId="1E63A0B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5"/>
        </w:tabs>
        <w:spacing w:before="0" w:beforeAutospacing="1" w:after="0" w:afterAutospacing="1" w:line="360" w:lineRule="auto"/>
        <w:ind w:left="1265" w:leftChars="0" w:hanging="425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Networking Gateways and Unattached Secondary Resources: Provisioning charges for NAT Gateways, Application Load Balancers, and hourly holding fees for unattached static public IP addresses.</w:t>
      </w:r>
    </w:p>
    <w:p w14:paraId="0C677CC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265"/>
        </w:tabs>
        <w:spacing w:before="0" w:beforeAutospacing="1" w:after="0" w:afterAutospacing="1" w:line="360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Operational Labor and Technical Support Plans: Personnel overhead for operating system patch management, system administration, and paid developer/enterprise technical support tiers from cloud providers.</w:t>
      </w:r>
    </w:p>
    <w:p w14:paraId="6903E5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bookmarkStart w:id="0" w:name="_GoBack"/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5. Distinguishing Estimated Costs from Actual Invoices with Financial Controls</w:t>
      </w:r>
    </w:p>
    <w:bookmarkEnd w:id="0"/>
    <w:p w14:paraId="46E72D3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Estimated Cost: A theoretical projection based on fixed unit prices and pre-defined usage metrics, assuming an idealized operating state without workload volatility or unexpected infrastructure overhead.</w:t>
      </w:r>
    </w:p>
    <w:p w14:paraId="014ED7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Actual Invoice: The official billed amount based on real-time consumption telemetry. Invoices are subject to actual traffic spikes, burstable data egress, provider minimum billing granularity rules, applicable taxes, and currency exchange rate fluctuations.</w:t>
      </w:r>
    </w:p>
    <w:p w14:paraId="46899D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Financial Risk Control Solutions:</w:t>
      </w:r>
    </w:p>
    <w:p w14:paraId="253A925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spacing w:before="0" w:beforeAutospacing="1" w:after="0" w:afterAutospacing="1" w:line="360" w:lineRule="auto"/>
        <w:ind w:left="1260" w:leftChars="0" w:hanging="4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Budget Alerts: Automated notifications triggered when expenditure approaches defined thresholds. Notably, budget alerts function purely as notifications and do not automatically terminate running resources.</w:t>
      </w:r>
    </w:p>
    <w:p w14:paraId="3AA345D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260"/>
        </w:tabs>
        <w:spacing w:before="0" w:beforeAutospacing="1" w:after="0" w:afterAutospacing="1" w:line="360" w:lineRule="auto"/>
        <w:ind w:left="1260" w:leftChars="0" w:hanging="420" w:firstLineChars="0"/>
        <w:jc w:val="both"/>
        <w:rPr>
          <w:rFonts w:hint="default" w:ascii="Times New Roman" w:hAnsi="Times New Roman" w:eastAsia="Roboto" w:cs="Times New Roman"/>
          <w:b w:val="0"/>
          <w:bCs w:val="0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i w:val="0"/>
          <w:iCs w:val="0"/>
          <w:caps w:val="0"/>
          <w:color w:val="303030"/>
          <w:spacing w:val="0"/>
          <w:sz w:val="26"/>
          <w:szCs w:val="26"/>
          <w:shd w:val="clear" w:fill="FAF9F9"/>
        </w:rPr>
        <w:t>Resource Quotas and Access Policies: Hard limits enforced on maximum instance counts, storage capacity, and egress bandwidth allocations to proactively prevent unbudgeted cost overruns.</w:t>
      </w:r>
    </w:p>
    <w:p w14:paraId="721C36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i w:val="0"/>
          <w:iCs w:val="0"/>
          <w:spacing w:val="0"/>
          <w:kern w:val="0"/>
          <w:sz w:val="26"/>
          <w:szCs w:val="26"/>
          <w:lang w:val="en-US" w:eastAsia="zh-CN" w:bidi="ar"/>
        </w:rPr>
        <w:t>REFERENCES</w:t>
      </w:r>
    </w:p>
    <w:p w14:paraId="3B36B9F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Roboto" w:cs="Times New Roman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 xml:space="preserve">Comer, D. E. (2021). </w:t>
      </w:r>
      <w:r>
        <w:rPr>
          <w:rFonts w:hint="default" w:ascii="Times New Roman" w:hAnsi="Times New Roman" w:eastAsia="Roboto" w:cs="Times New Roman"/>
          <w:spacing w:val="0"/>
          <w:kern w:val="0"/>
          <w:sz w:val="26"/>
          <w:szCs w:val="26"/>
          <w:lang w:val="en-US" w:eastAsia="zh-CN" w:bidi="ar"/>
        </w:rPr>
        <w:t>The cloud computing book: Platform, infrastructure, interfaces, and security</w:t>
      </w: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 xml:space="preserve"> (Chapters 1–4). CRC Press.</w:t>
      </w:r>
    </w:p>
    <w:p w14:paraId="662AB70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5"/>
        </w:tabs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Roboto" w:cs="Times New Roman"/>
          <w:i w:val="0"/>
          <w:iCs w:val="0"/>
          <w:spacing w:val="0"/>
          <w:sz w:val="26"/>
          <w:szCs w:val="26"/>
        </w:rPr>
      </w:pP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 xml:space="preserve">Marinescu, D. C. (2018). </w:t>
      </w:r>
      <w:r>
        <w:rPr>
          <w:rFonts w:hint="default" w:ascii="Times New Roman" w:hAnsi="Times New Roman" w:eastAsia="Roboto" w:cs="Times New Roman"/>
          <w:spacing w:val="0"/>
          <w:kern w:val="0"/>
          <w:sz w:val="26"/>
          <w:szCs w:val="26"/>
          <w:lang w:val="en-US" w:eastAsia="zh-CN" w:bidi="ar"/>
        </w:rPr>
        <w:t>Cloud computing: Theory and practice</w:t>
      </w:r>
      <w:r>
        <w:rPr>
          <w:rFonts w:hint="default" w:ascii="Times New Roman" w:hAnsi="Times New Roman" w:eastAsia="Roboto" w:cs="Times New Roman"/>
          <w:i w:val="0"/>
          <w:iCs w:val="0"/>
          <w:spacing w:val="0"/>
          <w:kern w:val="0"/>
          <w:sz w:val="26"/>
          <w:szCs w:val="26"/>
          <w:lang w:val="en-US" w:eastAsia="zh-CN" w:bidi="ar"/>
        </w:rPr>
        <w:t xml:space="preserve"> (2nd ed., Chapters 1–2). Morgan Kaufmann.</w:t>
      </w:r>
    </w:p>
    <w:p w14:paraId="5F67500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21149"/>
    <w:multiLevelType w:val="singleLevel"/>
    <w:tmpl w:val="9EE2114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A6CD3471"/>
    <w:multiLevelType w:val="singleLevel"/>
    <w:tmpl w:val="A6CD3471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B43BE880"/>
    <w:multiLevelType w:val="singleLevel"/>
    <w:tmpl w:val="B43BE880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2E0F8A43"/>
    <w:multiLevelType w:val="singleLevel"/>
    <w:tmpl w:val="2E0F8A43"/>
    <w:lvl w:ilvl="0" w:tentative="0">
      <w:start w:val="1"/>
      <w:numFmt w:val="decimal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4F07C7"/>
    <w:rsid w:val="14D41D3A"/>
    <w:rsid w:val="294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2026-10-11T15:01:00Z</dcterms:created>
  <dc:creator>LENOVO</dc:creator>
  <cp:lastModifiedBy>Như Huỳnh</cp:lastModifiedBy>
  <dcterms:modified xsi:type="dcterms:W3CDTF">2026-10-11T15:34:42Z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B438083428D34B86B187850327D3AE09_13</vt:lpwstr>
  </property>
  <property fmtid="{D5CDD505-2E9C-101B-9397-08002B2CF9AE}" pid="4" name="KSOTemplateDocerSaveRecord">
    <vt:lpwstr>eyJoZGlkIjoiNzM3ODk1N2Y4MDEzYjAyYWI1ZDFlYzE4YWU0MzhhODIiLCJ1c2VySWQiOiI4ODEzOTQ3NDYwODY0In0=</vt:lpwstr>
  </property>
</Properties>
</file>