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8295" w14:textId="64A5F874" w:rsidR="00742EB4" w:rsidRDefault="00000000">
      <w:pPr>
        <w:pStyle w:val="Title"/>
      </w:pPr>
      <w:r>
        <w:t xml:space="preserve">Experiment </w:t>
      </w:r>
      <w:r w:rsidR="0053671B">
        <w:t>4</w:t>
      </w:r>
    </w:p>
    <w:p w14:paraId="20C8F0A7" w14:textId="77777777" w:rsidR="00742EB4" w:rsidRDefault="00000000">
      <w:pPr>
        <w:pStyle w:val="Heading2"/>
      </w:pPr>
      <w:bookmarkStart w:id="0" w:name="Xf78167c1221e7248e28af5c0c846bdf25df8756"/>
      <w:r>
        <w:t>Summary Report - Comparison of GFP expression in eyes after single or triple injection of nanoplasmid in retina and RPE and choroid.</w:t>
      </w:r>
    </w:p>
    <w:p w14:paraId="57C501E5" w14:textId="77777777" w:rsidR="00742EB4" w:rsidRDefault="00000000">
      <w:pPr>
        <w:pStyle w:val="Heading2"/>
      </w:pPr>
      <w:bookmarkStart w:id="1" w:name="introduction"/>
      <w:bookmarkEnd w:id="0"/>
      <w:r>
        <w:t>Introduction:</w:t>
      </w:r>
    </w:p>
    <w:p w14:paraId="72B6CE41" w14:textId="77777777" w:rsidR="005415FF" w:rsidRDefault="00000000">
      <w:pPr>
        <w:pStyle w:val="FirstParagraph"/>
      </w:pPr>
      <w:r>
        <w:t>Minipigs received single or triple suprachoroidal injections of 50 µl of nanoplasmid containing GFP. Two weeks later, retina and RPE/choroid were collected for ELISA assay.</w:t>
      </w:r>
    </w:p>
    <w:p w14:paraId="0D53DC70" w14:textId="6A139982" w:rsidR="0053671B" w:rsidRDefault="00000000" w:rsidP="005415FF">
      <w:pPr>
        <w:pStyle w:val="FirstParagraph"/>
        <w:numPr>
          <w:ilvl w:val="0"/>
          <w:numId w:val="5"/>
        </w:numPr>
      </w:pPr>
      <w:r>
        <w:t xml:space="preserve">Group 1: Single suprachoroidal injection of 50 µl of nanoplasmid containing </w:t>
      </w:r>
      <w:proofErr w:type="gramStart"/>
      <w:r>
        <w:t>GFP</w:t>
      </w:r>
      <w:proofErr w:type="gramEnd"/>
      <w:r>
        <w:t xml:space="preserve"> </w:t>
      </w:r>
    </w:p>
    <w:p w14:paraId="5B241188" w14:textId="77777777" w:rsidR="0053671B" w:rsidRDefault="00000000" w:rsidP="005415FF">
      <w:pPr>
        <w:pStyle w:val="FirstParagraph"/>
        <w:numPr>
          <w:ilvl w:val="0"/>
          <w:numId w:val="5"/>
        </w:numPr>
      </w:pPr>
      <w:r>
        <w:t xml:space="preserve">Group 2: Triple suprachoroidal injection of 50 µl of nanoplasmid containing </w:t>
      </w:r>
      <w:proofErr w:type="gramStart"/>
      <w:r>
        <w:t>GFP</w:t>
      </w:r>
      <w:proofErr w:type="gramEnd"/>
      <w:r>
        <w:t xml:space="preserve"> </w:t>
      </w:r>
    </w:p>
    <w:p w14:paraId="431112D6" w14:textId="77777777" w:rsidR="0053671B" w:rsidRDefault="00000000">
      <w:pPr>
        <w:pStyle w:val="FirstParagraph"/>
      </w:pPr>
      <w:r>
        <w:t>We would like to compare:</w:t>
      </w:r>
    </w:p>
    <w:p w14:paraId="553E6FDA" w14:textId="777D8393" w:rsidR="0053671B" w:rsidRDefault="00000000" w:rsidP="005415FF">
      <w:pPr>
        <w:pStyle w:val="FirstParagraph"/>
        <w:numPr>
          <w:ilvl w:val="0"/>
          <w:numId w:val="3"/>
        </w:numPr>
      </w:pPr>
      <w:r>
        <w:t xml:space="preserve">the concentration of GFP in the retina after single injection versus triple </w:t>
      </w:r>
      <w:proofErr w:type="gramStart"/>
      <w:r>
        <w:t>injections;</w:t>
      </w:r>
      <w:proofErr w:type="gramEnd"/>
      <w:r>
        <w:t xml:space="preserve"> </w:t>
      </w:r>
    </w:p>
    <w:p w14:paraId="3BE6961E" w14:textId="2D9BA5E7" w:rsidR="00742EB4" w:rsidRDefault="00000000" w:rsidP="005415FF">
      <w:pPr>
        <w:pStyle w:val="FirstParagraph"/>
        <w:numPr>
          <w:ilvl w:val="0"/>
          <w:numId w:val="3"/>
        </w:numPr>
      </w:pPr>
      <w:r>
        <w:t>the concentration of GFP in the RPE/choroid after single injection versus triple injections.</w:t>
      </w:r>
    </w:p>
    <w:p w14:paraId="1819D445" w14:textId="77777777" w:rsidR="00742EB4" w:rsidRDefault="00000000">
      <w:pPr>
        <w:pStyle w:val="Heading2"/>
      </w:pPr>
      <w:bookmarkStart w:id="2" w:name="methods"/>
      <w:bookmarkEnd w:id="1"/>
      <w:r>
        <w:t>Methods:</w:t>
      </w:r>
    </w:p>
    <w:p w14:paraId="31F1069A" w14:textId="77777777" w:rsidR="00742EB4" w:rsidRDefault="00000000">
      <w:pPr>
        <w:pStyle w:val="FirstParagraph"/>
      </w:pPr>
      <w:r>
        <w:t>Minipigs were divided into two groups: Group 1 received a single suprachoroidal injection of 50 µl of nanoplasmid containing GFP, while Group 2 received three Triple suprachoroidal injection of 50 µl of nanoplasmid containing GFP. We fitted linear mixed-effects models to compare the GFP concentration in the retina and RPE/choroid after after single injection versus triple injections.</w:t>
      </w:r>
    </w:p>
    <w:p w14:paraId="069709E1" w14:textId="77777777" w:rsidR="00742EB4" w:rsidRDefault="00000000">
      <w:pPr>
        <w:pStyle w:val="BodyText"/>
      </w:pPr>
      <w:r>
        <w:rPr>
          <w:b/>
          <w:bCs/>
        </w:rPr>
        <w:t>The final linear mixed-effects model can be represented as follows:</w:t>
      </w:r>
    </w:p>
    <w:p w14:paraId="6B62BE99" w14:textId="77777777" w:rsidR="00742EB4" w:rsidRDefault="00000000">
      <w:pPr>
        <w:pStyle w:val="BodyText"/>
      </w:pPr>
      <m:oMathPara>
        <m:oMathParaPr>
          <m:jc m:val="center"/>
        </m:oMathParaPr>
        <m:oMath>
          <m:r>
            <m:rPr>
              <m:nor/>
            </m:rPr>
            <m:t>Assay (pg/mg/protein)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Injection</m:t>
          </m:r>
          <m:r>
            <m:rPr>
              <m:sty m:val="p"/>
            </m:rPr>
            <w:rPr>
              <w:rFonts w:ascii="Cambria Math" w:hAnsi="Cambria Math"/>
            </w:rPr>
            <m:t>+</m:t>
          </m:r>
          <m:sSub>
            <m:sSubPr>
              <m:ctrlPr>
                <w:rPr>
                  <w:rFonts w:ascii="Cambria Math" w:hAnsi="Cambria Math"/>
                </w:rPr>
              </m:ctrlPr>
            </m:sSubPr>
            <m:e>
              <m:r>
                <w:rPr>
                  <w:rFonts w:ascii="Cambria Math" w:hAnsi="Cambria Math"/>
                </w:rPr>
                <m:t>b</m:t>
              </m:r>
            </m:e>
            <m:sub>
              <m:r>
                <m:rPr>
                  <m:nor/>
                </m:rPr>
                <m:t>Pig_ID/Eye</m:t>
              </m:r>
            </m:sub>
          </m:sSub>
          <m:r>
            <m:rPr>
              <m:sty m:val="p"/>
            </m:rPr>
            <w:rPr>
              <w:rFonts w:ascii="Cambria Math" w:hAnsi="Cambria Math"/>
            </w:rPr>
            <m:t>+</m:t>
          </m:r>
          <m:r>
            <w:rPr>
              <w:rFonts w:ascii="Cambria Math" w:hAnsi="Cambria Math"/>
            </w:rPr>
            <m:t>ε</m:t>
          </m:r>
        </m:oMath>
      </m:oMathPara>
    </w:p>
    <w:p w14:paraId="4636E6D2" w14:textId="77777777" w:rsidR="00742EB4" w:rsidRDefault="00000000">
      <w:pPr>
        <w:pStyle w:val="FirstParagraph"/>
      </w:pPr>
      <w:r>
        <w:rPr>
          <w:b/>
          <w:bCs/>
        </w:rPr>
        <w:t>where:</w:t>
      </w:r>
    </w:p>
    <w:p w14:paraId="4341EE37" w14:textId="77777777" w:rsidR="00742EB4" w:rsidRDefault="00000000" w:rsidP="0053671B">
      <w:pPr>
        <w:pStyle w:val="BodyText"/>
        <w:numPr>
          <w:ilvl w:val="0"/>
          <w:numId w:val="2"/>
        </w:numPr>
      </w:pPr>
      <m:oMath>
        <m:r>
          <m:rPr>
            <m:nor/>
          </m:rPr>
          <m:t>Assay (pg/mg/protein)</m:t>
        </m:r>
      </m:oMath>
      <w:r>
        <w:t xml:space="preserve"> represents the response variable, i.e., the measured assay level for the observation.</w:t>
      </w:r>
    </w:p>
    <w:p w14:paraId="535C8B59" w14:textId="77777777" w:rsidR="00742EB4" w:rsidRDefault="00000000" w:rsidP="0053671B">
      <w:pPr>
        <w:pStyle w:val="BodyText"/>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of the model, representing the baseline assay level when </w:t>
      </w:r>
      <w:proofErr w:type="gramStart"/>
      <w:r>
        <w:t>both  and</w:t>
      </w:r>
      <w:proofErr w:type="gramEnd"/>
      <w:r>
        <w:t xml:space="preserve">  are zero.</w:t>
      </w:r>
    </w:p>
    <w:p w14:paraId="205AA73B" w14:textId="77777777" w:rsidR="00742EB4" w:rsidRDefault="00000000" w:rsidP="0053671B">
      <w:pPr>
        <w:pStyle w:val="BodyText"/>
        <w:numPr>
          <w:ilvl w:val="0"/>
          <w:numId w:val="2"/>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coefficient for the variable Injection, representing its fixed effect on the response. It indicates how the assay level changes with a one-unit increase in the Injection variable while holding other variables constant.</w:t>
      </w:r>
    </w:p>
    <w:p w14:paraId="50CE4A5D" w14:textId="77777777" w:rsidR="00742EB4" w:rsidRDefault="00000000" w:rsidP="0053671B">
      <w:pPr>
        <w:pStyle w:val="BodyText"/>
        <w:numPr>
          <w:ilvl w:val="0"/>
          <w:numId w:val="2"/>
        </w:numPr>
      </w:pPr>
      <m:oMath>
        <m:sSub>
          <m:sSubPr>
            <m:ctrlPr>
              <w:rPr>
                <w:rFonts w:ascii="Cambria Math" w:hAnsi="Cambria Math"/>
              </w:rPr>
            </m:ctrlPr>
          </m:sSubPr>
          <m:e>
            <m:r>
              <w:rPr>
                <w:rFonts w:ascii="Cambria Math" w:hAnsi="Cambria Math"/>
              </w:rPr>
              <m:t>b</m:t>
            </m:r>
          </m:e>
          <m:sub>
            <m:r>
              <m:rPr>
                <m:nor/>
              </m:rPr>
              <m:t>Pig_ID/Eye</m:t>
            </m:r>
          </m:sub>
        </m:sSub>
      </m:oMath>
      <w:r>
        <w:t xml:space="preserve"> represents the random intercept for each unique value of the variable Pig_ID, accounting for the individual variability between pigs. This term allows the baseline assay level to vary across different pigs, irrespective of their eye conditions.</w:t>
      </w:r>
    </w:p>
    <w:p w14:paraId="1507BA03" w14:textId="77777777" w:rsidR="00742EB4" w:rsidRDefault="00000000" w:rsidP="0053671B">
      <w:pPr>
        <w:pStyle w:val="BodyText"/>
        <w:numPr>
          <w:ilvl w:val="0"/>
          <w:numId w:val="2"/>
        </w:numPr>
      </w:pPr>
      <m:oMath>
        <m:r>
          <w:rPr>
            <w:rFonts w:ascii="Cambria Math" w:hAnsi="Cambria Math"/>
          </w:rPr>
          <m:t>ε</m:t>
        </m:r>
      </m:oMath>
      <w:r>
        <w:t xml:space="preserve"> is the error term, capturing the variability not accounted for by the model. It represents the residual variation in the assay level that is not explained by the fixed effects or random intercepts.</w:t>
      </w:r>
    </w:p>
    <w:p w14:paraId="2C28DBD9" w14:textId="77777777" w:rsidR="00742EB4" w:rsidRDefault="00000000" w:rsidP="0053671B">
      <w:pPr>
        <w:pStyle w:val="FirstParagraph"/>
        <w:ind w:left="1440"/>
      </w:pPr>
      <w:r>
        <w:rPr>
          <w:noProof/>
        </w:rPr>
        <w:drawing>
          <wp:inline distT="0" distB="0" distL="0" distR="0" wp14:anchorId="6B0D13E5" wp14:editId="1F090A91">
            <wp:extent cx="3381375" cy="25431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xperiment3_files/figure-docx/unnamed-chunk-1-1.png"/>
                    <pic:cNvPicPr>
                      <a:picLocks noChangeAspect="1" noChangeArrowheads="1"/>
                    </pic:cNvPicPr>
                  </pic:nvPicPr>
                  <pic:blipFill>
                    <a:blip r:embed="rId7"/>
                    <a:stretch>
                      <a:fillRect/>
                    </a:stretch>
                  </pic:blipFill>
                  <pic:spPr bwMode="auto">
                    <a:xfrm>
                      <a:off x="0" y="0"/>
                      <a:ext cx="3381750" cy="2543457"/>
                    </a:xfrm>
                    <a:prstGeom prst="rect">
                      <a:avLst/>
                    </a:prstGeom>
                    <a:noFill/>
                    <a:ln w="9525">
                      <a:noFill/>
                      <a:headEnd/>
                      <a:tailEnd/>
                    </a:ln>
                  </pic:spPr>
                </pic:pic>
              </a:graphicData>
            </a:graphic>
          </wp:inline>
        </w:drawing>
      </w:r>
      <w:r>
        <w:rPr>
          <w:noProof/>
        </w:rPr>
        <w:drawing>
          <wp:inline distT="0" distB="0" distL="0" distR="0" wp14:anchorId="62CB4A5E" wp14:editId="0ACD1B2E">
            <wp:extent cx="3419475" cy="25431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xperiment3_files/figure-docx/unnamed-chunk-1-2.png"/>
                    <pic:cNvPicPr>
                      <a:picLocks noChangeAspect="1" noChangeArrowheads="1"/>
                    </pic:cNvPicPr>
                  </pic:nvPicPr>
                  <pic:blipFill>
                    <a:blip r:embed="rId8"/>
                    <a:stretch>
                      <a:fillRect/>
                    </a:stretch>
                  </pic:blipFill>
                  <pic:spPr bwMode="auto">
                    <a:xfrm>
                      <a:off x="0" y="0"/>
                      <a:ext cx="3419850" cy="2543454"/>
                    </a:xfrm>
                    <a:prstGeom prst="rect">
                      <a:avLst/>
                    </a:prstGeom>
                    <a:noFill/>
                    <a:ln w="9525">
                      <a:noFill/>
                      <a:headEnd/>
                      <a:tailEnd/>
                    </a:ln>
                  </pic:spPr>
                </pic:pic>
              </a:graphicData>
            </a:graphic>
          </wp:inline>
        </w:drawing>
      </w:r>
    </w:p>
    <w:p w14:paraId="3E882DDF" w14:textId="77777777" w:rsidR="00742EB4" w:rsidRDefault="00000000" w:rsidP="0053671B">
      <w:pPr>
        <w:pStyle w:val="FirstParagraph"/>
        <w:ind w:left="1440"/>
      </w:pPr>
      <w:r>
        <w:rPr>
          <w:noProof/>
        </w:rPr>
        <w:drawing>
          <wp:inline distT="0" distB="0" distL="0" distR="0" wp14:anchorId="534F8A94" wp14:editId="4D3DB9B7">
            <wp:extent cx="3371850" cy="26860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xperiment3_files/figure-docx/unnamed-chunk-2-1.png"/>
                    <pic:cNvPicPr>
                      <a:picLocks noChangeAspect="1" noChangeArrowheads="1"/>
                    </pic:cNvPicPr>
                  </pic:nvPicPr>
                  <pic:blipFill>
                    <a:blip r:embed="rId9"/>
                    <a:stretch>
                      <a:fillRect/>
                    </a:stretch>
                  </pic:blipFill>
                  <pic:spPr bwMode="auto">
                    <a:xfrm>
                      <a:off x="0" y="0"/>
                      <a:ext cx="3372222" cy="2686346"/>
                    </a:xfrm>
                    <a:prstGeom prst="rect">
                      <a:avLst/>
                    </a:prstGeom>
                    <a:noFill/>
                    <a:ln w="9525">
                      <a:noFill/>
                      <a:headEnd/>
                      <a:tailEnd/>
                    </a:ln>
                  </pic:spPr>
                </pic:pic>
              </a:graphicData>
            </a:graphic>
          </wp:inline>
        </w:drawing>
      </w:r>
      <w:r>
        <w:rPr>
          <w:noProof/>
        </w:rPr>
        <w:drawing>
          <wp:inline distT="0" distB="0" distL="0" distR="0" wp14:anchorId="429EAC95" wp14:editId="6A17C4A0">
            <wp:extent cx="3455581" cy="26860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xperiment3_files/figure-docx/unnamed-chunk-2-2.png"/>
                    <pic:cNvPicPr>
                      <a:picLocks noChangeAspect="1" noChangeArrowheads="1"/>
                    </pic:cNvPicPr>
                  </pic:nvPicPr>
                  <pic:blipFill>
                    <a:blip r:embed="rId10"/>
                    <a:stretch>
                      <a:fillRect/>
                    </a:stretch>
                  </pic:blipFill>
                  <pic:spPr bwMode="auto">
                    <a:xfrm>
                      <a:off x="0" y="0"/>
                      <a:ext cx="3458460" cy="2688288"/>
                    </a:xfrm>
                    <a:prstGeom prst="rect">
                      <a:avLst/>
                    </a:prstGeom>
                    <a:noFill/>
                    <a:ln w="9525">
                      <a:noFill/>
                      <a:headEnd/>
                      <a:tailEnd/>
                    </a:ln>
                  </pic:spPr>
                </pic:pic>
              </a:graphicData>
            </a:graphic>
          </wp:inline>
        </w:drawing>
      </w:r>
    </w:p>
    <w:p w14:paraId="66913052" w14:textId="77777777" w:rsidR="00742EB4" w:rsidRDefault="00000000">
      <w:pPr>
        <w:pStyle w:val="Heading2"/>
      </w:pPr>
      <w:bookmarkStart w:id="3" w:name="results"/>
      <w:bookmarkEnd w:id="2"/>
      <w:r>
        <w:lastRenderedPageBreak/>
        <w:t>Results:</w:t>
      </w:r>
    </w:p>
    <w:p w14:paraId="6AF7BA4A" w14:textId="77777777" w:rsidR="00742EB4" w:rsidRDefault="00000000">
      <w:pPr>
        <w:pStyle w:val="FirstParagraph"/>
      </w:pPr>
      <w:r>
        <w:t>The results of the linear mixed-effects models</w:t>
      </w:r>
    </w:p>
    <w:p w14:paraId="3A8B181B" w14:textId="77777777" w:rsidR="00742EB4" w:rsidRDefault="00000000">
      <w:pPr>
        <w:pStyle w:val="BodyText"/>
      </w:pPr>
      <m:oMathPara>
        <m:oMathParaPr>
          <m:jc m:val="center"/>
        </m:oMathParaPr>
        <m:oMath>
          <m:r>
            <m:rPr>
              <m:nor/>
            </m:rPr>
            <m:t>Assay (</m:t>
          </m:r>
          <w:proofErr w:type="spellStart"/>
          <m:r>
            <m:rPr>
              <m:nor/>
            </m:rPr>
            <m:t>pg</m:t>
          </m:r>
          <w:proofErr w:type="spellEnd"/>
          <m:r>
            <m:rPr>
              <m:nor/>
            </m:rPr>
            <m:t>/mg/protein)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nor/>
            </m:rPr>
            <m:t>Injection</m:t>
          </m:r>
          <m:r>
            <m:rPr>
              <m:sty m:val="p"/>
            </m:rPr>
            <w:rPr>
              <w:rFonts w:ascii="Cambria Math" w:hAnsi="Cambria Math"/>
            </w:rPr>
            <m:t>+</m:t>
          </m:r>
          <m:sSub>
            <m:sSubPr>
              <m:ctrlPr>
                <w:rPr>
                  <w:rFonts w:ascii="Cambria Math" w:hAnsi="Cambria Math"/>
                </w:rPr>
              </m:ctrlPr>
            </m:sSubPr>
            <m:e>
              <m:r>
                <w:rPr>
                  <w:rFonts w:ascii="Cambria Math" w:hAnsi="Cambria Math"/>
                </w:rPr>
                <m:t>b</m:t>
              </m:r>
            </m:e>
            <m:sub>
              <m:r>
                <m:rPr>
                  <m:nor/>
                </m:rPr>
                <m:t>Pig_ID/Eye</m:t>
              </m:r>
            </m:sub>
          </m:sSub>
          <m:r>
            <m:rPr>
              <m:sty m:val="p"/>
            </m:rPr>
            <w:rPr>
              <w:rFonts w:ascii="Cambria Math" w:hAnsi="Cambria Math"/>
            </w:rPr>
            <m:t>+</m:t>
          </m:r>
          <m:r>
            <w:rPr>
              <w:rFonts w:ascii="Cambria Math" w:hAnsi="Cambria Math"/>
            </w:rPr>
            <m:t>ε</m:t>
          </m:r>
        </m:oMath>
      </m:oMathPara>
    </w:p>
    <w:p w14:paraId="05288D64" w14:textId="77777777" w:rsidR="00742EB4" w:rsidRDefault="00000000">
      <w:pPr>
        <w:pStyle w:val="FirstParagraph"/>
      </w:pPr>
      <w:r>
        <w:t>as follows:</w:t>
      </w:r>
    </w:p>
    <w:tbl>
      <w:tblPr>
        <w:tblStyle w:val="Table"/>
        <w:tblW w:w="5000" w:type="pct"/>
        <w:tblLook w:val="0020" w:firstRow="1" w:lastRow="0" w:firstColumn="0" w:lastColumn="0" w:noHBand="0" w:noVBand="0"/>
      </w:tblPr>
      <w:tblGrid>
        <w:gridCol w:w="2389"/>
        <w:gridCol w:w="1157"/>
        <w:gridCol w:w="1725"/>
        <w:gridCol w:w="1729"/>
        <w:gridCol w:w="1677"/>
        <w:gridCol w:w="1437"/>
        <w:gridCol w:w="1544"/>
        <w:gridCol w:w="1518"/>
      </w:tblGrid>
      <w:tr w:rsidR="00F7179A" w14:paraId="63DF8B91" w14:textId="77777777" w:rsidTr="00742EB4">
        <w:trPr>
          <w:cnfStyle w:val="100000000000" w:firstRow="1" w:lastRow="0" w:firstColumn="0" w:lastColumn="0" w:oddVBand="0" w:evenVBand="0" w:oddHBand="0" w:evenHBand="0" w:firstRowFirstColumn="0" w:firstRowLastColumn="0" w:lastRowFirstColumn="0" w:lastRowLastColumn="0"/>
          <w:tblHeader/>
        </w:trPr>
        <w:tc>
          <w:tcPr>
            <w:tcW w:w="0" w:type="auto"/>
          </w:tcPr>
          <w:p w14:paraId="7FC4F709" w14:textId="77777777" w:rsidR="00742EB4" w:rsidRDefault="00742EB4">
            <w:pPr>
              <w:pStyle w:val="Compact"/>
            </w:pPr>
          </w:p>
        </w:tc>
        <w:tc>
          <w:tcPr>
            <w:tcW w:w="0" w:type="auto"/>
          </w:tcPr>
          <w:p w14:paraId="42461FF0" w14:textId="77777777" w:rsidR="00742EB4" w:rsidRDefault="00000000">
            <w:pPr>
              <w:pStyle w:val="Compact"/>
            </w:pPr>
            <w:r>
              <w:t>Item</w:t>
            </w:r>
          </w:p>
        </w:tc>
        <w:tc>
          <w:tcPr>
            <w:tcW w:w="0" w:type="auto"/>
          </w:tcPr>
          <w:p w14:paraId="174403D8" w14:textId="116E2A8C" w:rsidR="00742EB4" w:rsidRDefault="00F7179A">
            <w:pPr>
              <w:pStyle w:val="Compact"/>
              <w:jc w:val="right"/>
            </w:pPr>
            <w:proofErr w:type="spellStart"/>
            <w:r>
              <w:t>Single_Avg</w:t>
            </w:r>
            <w:proofErr w:type="spellEnd"/>
          </w:p>
        </w:tc>
        <w:tc>
          <w:tcPr>
            <w:tcW w:w="0" w:type="auto"/>
          </w:tcPr>
          <w:p w14:paraId="27543E27" w14:textId="3E05D5FB" w:rsidR="00742EB4" w:rsidRDefault="00F7179A">
            <w:pPr>
              <w:pStyle w:val="Compact"/>
              <w:jc w:val="right"/>
            </w:pPr>
            <w:proofErr w:type="spellStart"/>
            <w:r>
              <w:t>Triple_Avg</w:t>
            </w:r>
            <w:proofErr w:type="spellEnd"/>
          </w:p>
        </w:tc>
        <w:tc>
          <w:tcPr>
            <w:tcW w:w="0" w:type="auto"/>
          </w:tcPr>
          <w:p w14:paraId="65E118FC" w14:textId="77777777" w:rsidR="00742EB4" w:rsidRDefault="00000000">
            <w:pPr>
              <w:pStyle w:val="Compact"/>
              <w:jc w:val="right"/>
            </w:pPr>
            <w:r>
              <w:t>Difference</w:t>
            </w:r>
          </w:p>
        </w:tc>
        <w:tc>
          <w:tcPr>
            <w:tcW w:w="0" w:type="auto"/>
          </w:tcPr>
          <w:p w14:paraId="07886BF1" w14:textId="7976D931" w:rsidR="00742EB4" w:rsidRDefault="003051A0">
            <w:pPr>
              <w:pStyle w:val="Compact"/>
              <w:jc w:val="right"/>
            </w:pPr>
            <w:proofErr w:type="spellStart"/>
            <w:r>
              <w:t>p</w:t>
            </w:r>
            <w:r w:rsidR="00F7179A">
              <w:t>_values</w:t>
            </w:r>
            <w:proofErr w:type="spellEnd"/>
          </w:p>
        </w:tc>
        <w:tc>
          <w:tcPr>
            <w:tcW w:w="0" w:type="auto"/>
          </w:tcPr>
          <w:p w14:paraId="17A1C1B6" w14:textId="77777777" w:rsidR="00742EB4" w:rsidRDefault="00000000">
            <w:pPr>
              <w:pStyle w:val="Compact"/>
              <w:jc w:val="right"/>
            </w:pPr>
            <w:r>
              <w:t>CI_Lower</w:t>
            </w:r>
          </w:p>
        </w:tc>
        <w:tc>
          <w:tcPr>
            <w:tcW w:w="0" w:type="auto"/>
          </w:tcPr>
          <w:p w14:paraId="33912FB2" w14:textId="77777777" w:rsidR="00742EB4" w:rsidRDefault="00000000">
            <w:pPr>
              <w:pStyle w:val="Compact"/>
              <w:jc w:val="right"/>
            </w:pPr>
            <w:r>
              <w:t>CI_Upper</w:t>
            </w:r>
          </w:p>
        </w:tc>
      </w:tr>
      <w:tr w:rsidR="00F7179A" w14:paraId="1A095051" w14:textId="77777777">
        <w:tc>
          <w:tcPr>
            <w:tcW w:w="0" w:type="auto"/>
          </w:tcPr>
          <w:p w14:paraId="11FA1398" w14:textId="77777777" w:rsidR="00742EB4" w:rsidRDefault="00000000">
            <w:pPr>
              <w:pStyle w:val="Compact"/>
            </w:pPr>
            <w:proofErr w:type="spellStart"/>
            <w:r>
              <w:t>Injectiontriple</w:t>
            </w:r>
            <w:proofErr w:type="spellEnd"/>
          </w:p>
        </w:tc>
        <w:tc>
          <w:tcPr>
            <w:tcW w:w="0" w:type="auto"/>
          </w:tcPr>
          <w:p w14:paraId="41CE607F" w14:textId="77777777" w:rsidR="00742EB4" w:rsidRDefault="00000000">
            <w:pPr>
              <w:pStyle w:val="Compact"/>
            </w:pPr>
            <w:r>
              <w:t>RPE</w:t>
            </w:r>
          </w:p>
        </w:tc>
        <w:tc>
          <w:tcPr>
            <w:tcW w:w="0" w:type="auto"/>
          </w:tcPr>
          <w:p w14:paraId="2558BD68" w14:textId="77777777" w:rsidR="00742EB4" w:rsidRDefault="00000000">
            <w:pPr>
              <w:pStyle w:val="Compact"/>
              <w:jc w:val="right"/>
            </w:pPr>
            <w:r>
              <w:t>649.80</w:t>
            </w:r>
          </w:p>
        </w:tc>
        <w:tc>
          <w:tcPr>
            <w:tcW w:w="0" w:type="auto"/>
          </w:tcPr>
          <w:p w14:paraId="58670D61" w14:textId="77777777" w:rsidR="00742EB4" w:rsidRDefault="00000000">
            <w:pPr>
              <w:pStyle w:val="Compact"/>
              <w:jc w:val="right"/>
            </w:pPr>
            <w:r>
              <w:t>1477.75</w:t>
            </w:r>
          </w:p>
        </w:tc>
        <w:tc>
          <w:tcPr>
            <w:tcW w:w="0" w:type="auto"/>
          </w:tcPr>
          <w:p w14:paraId="047930D6" w14:textId="77777777" w:rsidR="00742EB4" w:rsidRDefault="00000000">
            <w:pPr>
              <w:pStyle w:val="Compact"/>
              <w:jc w:val="right"/>
            </w:pPr>
            <w:r>
              <w:t>827.96</w:t>
            </w:r>
          </w:p>
        </w:tc>
        <w:tc>
          <w:tcPr>
            <w:tcW w:w="0" w:type="auto"/>
          </w:tcPr>
          <w:p w14:paraId="3853391D" w14:textId="77777777" w:rsidR="00742EB4" w:rsidRDefault="00000000">
            <w:pPr>
              <w:pStyle w:val="Compact"/>
              <w:jc w:val="right"/>
            </w:pPr>
            <w:r>
              <w:t>0.06</w:t>
            </w:r>
          </w:p>
        </w:tc>
        <w:tc>
          <w:tcPr>
            <w:tcW w:w="0" w:type="auto"/>
          </w:tcPr>
          <w:p w14:paraId="6BC2F04A" w14:textId="77777777" w:rsidR="00742EB4" w:rsidRDefault="00000000">
            <w:pPr>
              <w:pStyle w:val="Compact"/>
              <w:jc w:val="right"/>
            </w:pPr>
            <w:r>
              <w:t>223.42</w:t>
            </w:r>
          </w:p>
        </w:tc>
        <w:tc>
          <w:tcPr>
            <w:tcW w:w="0" w:type="auto"/>
          </w:tcPr>
          <w:p w14:paraId="30893029" w14:textId="77777777" w:rsidR="00742EB4" w:rsidRDefault="00000000">
            <w:pPr>
              <w:pStyle w:val="Compact"/>
              <w:jc w:val="right"/>
            </w:pPr>
            <w:r>
              <w:t>1438.57</w:t>
            </w:r>
          </w:p>
        </w:tc>
      </w:tr>
      <w:tr w:rsidR="00F7179A" w14:paraId="4F4CD7D0" w14:textId="77777777">
        <w:tc>
          <w:tcPr>
            <w:tcW w:w="0" w:type="auto"/>
          </w:tcPr>
          <w:p w14:paraId="725AE879" w14:textId="77777777" w:rsidR="00742EB4" w:rsidRDefault="00000000">
            <w:pPr>
              <w:pStyle w:val="Compact"/>
            </w:pPr>
            <w:r>
              <w:t>Injectiontriple1</w:t>
            </w:r>
          </w:p>
        </w:tc>
        <w:tc>
          <w:tcPr>
            <w:tcW w:w="0" w:type="auto"/>
          </w:tcPr>
          <w:p w14:paraId="24955AE0" w14:textId="77777777" w:rsidR="00742EB4" w:rsidRDefault="00000000">
            <w:pPr>
              <w:pStyle w:val="Compact"/>
            </w:pPr>
            <w:r>
              <w:t>Retina</w:t>
            </w:r>
          </w:p>
        </w:tc>
        <w:tc>
          <w:tcPr>
            <w:tcW w:w="0" w:type="auto"/>
          </w:tcPr>
          <w:p w14:paraId="10CC1307" w14:textId="77777777" w:rsidR="00742EB4" w:rsidRDefault="00000000">
            <w:pPr>
              <w:pStyle w:val="Compact"/>
              <w:jc w:val="right"/>
            </w:pPr>
            <w:r>
              <w:t>219.16</w:t>
            </w:r>
          </w:p>
        </w:tc>
        <w:tc>
          <w:tcPr>
            <w:tcW w:w="0" w:type="auto"/>
          </w:tcPr>
          <w:p w14:paraId="0002AA3F" w14:textId="77777777" w:rsidR="00742EB4" w:rsidRDefault="00000000">
            <w:pPr>
              <w:pStyle w:val="Compact"/>
              <w:jc w:val="right"/>
            </w:pPr>
            <w:r>
              <w:t>470.70</w:t>
            </w:r>
          </w:p>
        </w:tc>
        <w:tc>
          <w:tcPr>
            <w:tcW w:w="0" w:type="auto"/>
          </w:tcPr>
          <w:p w14:paraId="0149D6EE" w14:textId="77777777" w:rsidR="00742EB4" w:rsidRDefault="00000000">
            <w:pPr>
              <w:pStyle w:val="Compact"/>
              <w:jc w:val="right"/>
            </w:pPr>
            <w:r>
              <w:t>251.54</w:t>
            </w:r>
          </w:p>
        </w:tc>
        <w:tc>
          <w:tcPr>
            <w:tcW w:w="0" w:type="auto"/>
          </w:tcPr>
          <w:p w14:paraId="08C72A1A" w14:textId="77777777" w:rsidR="00742EB4" w:rsidRDefault="00000000">
            <w:pPr>
              <w:pStyle w:val="Compact"/>
              <w:jc w:val="right"/>
            </w:pPr>
            <w:r>
              <w:t>0.40</w:t>
            </w:r>
          </w:p>
        </w:tc>
        <w:tc>
          <w:tcPr>
            <w:tcW w:w="0" w:type="auto"/>
          </w:tcPr>
          <w:p w14:paraId="5BA6ED40" w14:textId="77777777" w:rsidR="00742EB4" w:rsidRDefault="00000000">
            <w:pPr>
              <w:pStyle w:val="Compact"/>
              <w:jc w:val="right"/>
            </w:pPr>
            <w:r>
              <w:t>-156.37</w:t>
            </w:r>
          </w:p>
        </w:tc>
        <w:tc>
          <w:tcPr>
            <w:tcW w:w="0" w:type="auto"/>
          </w:tcPr>
          <w:p w14:paraId="2DE89946" w14:textId="77777777" w:rsidR="00742EB4" w:rsidRDefault="00000000">
            <w:pPr>
              <w:pStyle w:val="Compact"/>
              <w:jc w:val="right"/>
            </w:pPr>
            <w:r>
              <w:t>630.60</w:t>
            </w:r>
          </w:p>
        </w:tc>
      </w:tr>
      <w:bookmarkEnd w:id="3"/>
    </w:tbl>
    <w:p w14:paraId="5200280B" w14:textId="77777777" w:rsidR="00FA6EE2" w:rsidRDefault="00FA6EE2"/>
    <w:sectPr w:rsidR="00FA6EE2" w:rsidSect="0053671B">
      <w:pgSz w:w="15840" w:h="12240" w:orient="landscape"/>
      <w:pgMar w:top="540" w:right="1440" w:bottom="81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B3AB" w14:textId="77777777" w:rsidR="00246B4E" w:rsidRDefault="00246B4E">
      <w:pPr>
        <w:spacing w:after="0"/>
      </w:pPr>
      <w:r>
        <w:separator/>
      </w:r>
    </w:p>
  </w:endnote>
  <w:endnote w:type="continuationSeparator" w:id="0">
    <w:p w14:paraId="71AFD6FB" w14:textId="77777777" w:rsidR="00246B4E" w:rsidRDefault="0024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297E0" w14:textId="77777777" w:rsidR="00246B4E" w:rsidRDefault="00246B4E">
      <w:r>
        <w:separator/>
      </w:r>
    </w:p>
  </w:footnote>
  <w:footnote w:type="continuationSeparator" w:id="0">
    <w:p w14:paraId="055EE872" w14:textId="77777777" w:rsidR="00246B4E" w:rsidRDefault="00246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70DD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57634A"/>
    <w:multiLevelType w:val="hybridMultilevel"/>
    <w:tmpl w:val="9590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4625F"/>
    <w:multiLevelType w:val="hybridMultilevel"/>
    <w:tmpl w:val="31A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55D62"/>
    <w:multiLevelType w:val="hybridMultilevel"/>
    <w:tmpl w:val="011E2114"/>
    <w:lvl w:ilvl="0" w:tplc="162AAEBC">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8150F"/>
    <w:multiLevelType w:val="hybridMultilevel"/>
    <w:tmpl w:val="444E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172697">
    <w:abstractNumId w:val="0"/>
  </w:num>
  <w:num w:numId="2" w16cid:durableId="115562224">
    <w:abstractNumId w:val="4"/>
  </w:num>
  <w:num w:numId="3" w16cid:durableId="1251834">
    <w:abstractNumId w:val="2"/>
  </w:num>
  <w:num w:numId="4" w16cid:durableId="2045205573">
    <w:abstractNumId w:val="3"/>
  </w:num>
  <w:num w:numId="5" w16cid:durableId="17230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2EB4"/>
    <w:rsid w:val="00246B4E"/>
    <w:rsid w:val="003051A0"/>
    <w:rsid w:val="0053671B"/>
    <w:rsid w:val="005415FF"/>
    <w:rsid w:val="00742EB4"/>
    <w:rsid w:val="00763FCD"/>
    <w:rsid w:val="00F7179A"/>
    <w:rsid w:val="00FA6EE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D1779"/>
  <w15:docId w15:val="{83396164-773C-49A9-AA35-9ED5F069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3671B"/>
    <w:pPr>
      <w:tabs>
        <w:tab w:val="center" w:pos="4680"/>
        <w:tab w:val="right" w:pos="9360"/>
      </w:tabs>
      <w:spacing w:after="0"/>
    </w:pPr>
  </w:style>
  <w:style w:type="character" w:customStyle="1" w:styleId="HeaderChar">
    <w:name w:val="Header Char"/>
    <w:basedOn w:val="DefaultParagraphFont"/>
    <w:link w:val="Header"/>
    <w:rsid w:val="0053671B"/>
  </w:style>
  <w:style w:type="paragraph" w:styleId="Footer">
    <w:name w:val="footer"/>
    <w:basedOn w:val="Normal"/>
    <w:link w:val="FooterChar"/>
    <w:unhideWhenUsed/>
    <w:rsid w:val="0053671B"/>
    <w:pPr>
      <w:tabs>
        <w:tab w:val="center" w:pos="4680"/>
        <w:tab w:val="right" w:pos="9360"/>
      </w:tabs>
      <w:spacing w:after="0"/>
    </w:pPr>
  </w:style>
  <w:style w:type="character" w:customStyle="1" w:styleId="FooterChar">
    <w:name w:val="Footer Char"/>
    <w:basedOn w:val="DefaultParagraphFont"/>
    <w:link w:val="Footer"/>
    <w:rsid w:val="00536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370</Words>
  <Characters>2110</Characters>
  <Application>Microsoft Office Word</Application>
  <DocSecurity>0</DocSecurity>
  <Lines>17</Lines>
  <Paragraphs>4</Paragraphs>
  <ScaleCrop>false</ScaleCrop>
  <Company>Centers for Disease Control and Prevention</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3</dc:title>
  <dc:creator/>
  <cp:keywords/>
  <cp:lastModifiedBy>Shi, Minchan (Daisy) (CDC/DDPHSS/NCHS/DHCS) (CTR)</cp:lastModifiedBy>
  <cp:revision>6</cp:revision>
  <dcterms:created xsi:type="dcterms:W3CDTF">2023-08-07T15:08:00Z</dcterms:created>
  <dcterms:modified xsi:type="dcterms:W3CDTF">2023-08-07T15:27:00Z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2023-08-07</vt:lpwstr>
  </property>
  <property fmtid="{D5CDD505-2E9C-101B-9397-08002B2CF9AE}" pid="3" name="output">
    <vt:lpwstr>word_document</vt:lpwstr>
  </property>
  <property fmtid="{D5CDD505-2E9C-101B-9397-08002B2CF9AE}" pid="4" name="MSIP_Label_7b94a7b8-f06c-4dfe-bdcc-9b548fd58c31_Enabled">
    <vt:lpwstr>true</vt:lpwstr>
  </property>
  <property fmtid="{D5CDD505-2E9C-101B-9397-08002B2CF9AE}" pid="5" name="MSIP_Label_7b94a7b8-f06c-4dfe-bdcc-9b548fd58c31_SetDate">
    <vt:lpwstr>2023-08-07T15:08:37Z</vt:lpwstr>
  </property>
  <property fmtid="{D5CDD505-2E9C-101B-9397-08002B2CF9AE}" pid="6" name="MSIP_Label_7b94a7b8-f06c-4dfe-bdcc-9b548fd58c31_Method">
    <vt:lpwstr>Privileged</vt:lpwstr>
  </property>
  <property fmtid="{D5CDD505-2E9C-101B-9397-08002B2CF9AE}" pid="7" name="MSIP_Label_7b94a7b8-f06c-4dfe-bdcc-9b548fd58c31_Name">
    <vt:lpwstr>7b94a7b8-f06c-4dfe-bdcc-9b548fd58c31</vt:lpwstr>
  </property>
  <property fmtid="{D5CDD505-2E9C-101B-9397-08002B2CF9AE}" pid="8" name="MSIP_Label_7b94a7b8-f06c-4dfe-bdcc-9b548fd58c31_SiteId">
    <vt:lpwstr>9ce70869-60db-44fd-abe8-d2767077fc8f</vt:lpwstr>
  </property>
  <property fmtid="{D5CDD505-2E9C-101B-9397-08002B2CF9AE}" pid="9" name="MSIP_Label_7b94a7b8-f06c-4dfe-bdcc-9b548fd58c31_ActionId">
    <vt:lpwstr>5b2f493d-0d80-42c8-9d03-e53d148da981</vt:lpwstr>
  </property>
  <property fmtid="{D5CDD505-2E9C-101B-9397-08002B2CF9AE}" pid="10" name="MSIP_Label_7b94a7b8-f06c-4dfe-bdcc-9b548fd58c31_ContentBits">
    <vt:lpwstr>0</vt:lpwstr>
  </property>
</Properties>
</file>