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0r8qc5cv31w" w:id="0"/>
      <w:bookmarkEnd w:id="0"/>
      <w:r w:rsidDel="00000000" w:rsidR="00000000" w:rsidRPr="00000000">
        <w:rPr>
          <w:b w:val="1"/>
          <w:bCs w:val="1"/>
          <w:sz w:val="46"/>
          <w:szCs w:val="46"/>
          <w:rtl w:val="0"/>
        </w:rPr>
        <w:t xml:space="preserve">AICTE's existing approval workflow</w:t>
      </w:r>
    </w:p>
    <w:p w:rsidR="00000000" w:rsidDel="00000000" w:rsidP="00000000" w:rsidRDefault="00000000" w:rsidRPr="00000000" w14:paraId="00000002">
      <w:pPr>
        <w:spacing w:after="240" w:before="240" w:lineRule="auto"/>
        <w:rPr/>
      </w:pPr>
      <w:r w:rsidDel="00000000" w:rsidR="00000000" w:rsidRPr="00000000">
        <w:rPr>
          <w:rtl w:val="0"/>
        </w:rPr>
        <w:t xml:space="preserve">I drew this from the Approval Process Handbook (APH) 2024-27 text, older handbooks, AICTE circulars and sample approval letters. AICTE's site blocked my direct fetch, so I used mirrors and copies. Details differ between handbook years, so verify clause numbers against the final APH 2024-27.</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mu320mw7dzx" w:id="1"/>
      <w:bookmarkEnd w:id="1"/>
      <w:r w:rsidDel="00000000" w:rsidR="00000000" w:rsidRPr="00000000">
        <w:rPr>
          <w:b w:val="1"/>
          <w:bCs w:val="1"/>
          <w:sz w:val="34"/>
          <w:szCs w:val="34"/>
          <w:rtl w:val="0"/>
        </w:rPr>
        <w:t xml:space="preserve">The flow</w:t>
      </w:r>
    </w:p>
    <w:p w:rsidR="00000000" w:rsidDel="00000000" w:rsidP="00000000" w:rsidRDefault="00000000" w:rsidRPr="00000000" w14:paraId="00000004">
      <w:pPr>
        <w:rPr/>
      </w:pPr>
      <w:r w:rsidDel="00000000" w:rsidR="00000000" w:rsidRPr="00000000">
        <w:rPr>
          <w:rtl w:val="0"/>
        </w:rPr>
        <w:t xml:space="preserve">Public notice (fixed schedule)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6">
      <w:pPr>
        <w:rPr/>
      </w:pPr>
      <w:r w:rsidDel="00000000" w:rsidR="00000000" w:rsidRPr="00000000">
        <w:rPr>
          <w:rtl w:val="0"/>
        </w:rPr>
        <w:t xml:space="preserve">Online application on AICTE portal (+ documents, fees)</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rPr/>
      </w:pPr>
      <w:r w:rsidDel="00000000" w:rsidR="00000000" w:rsidRPr="00000000">
        <w:rPr>
          <w:rtl w:val="0"/>
        </w:rPr>
        <w:t xml:space="preserve">Scrutiny Committee (document verification)</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Deficiency report → institution submits compliance → Re-scrutiny / Hearing (SHC)</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rPr/>
      </w:pPr>
      <w:r w:rsidDel="00000000" w:rsidR="00000000" w:rsidRPr="00000000">
        <w:rPr>
          <w:rtl w:val="0"/>
        </w:rPr>
        <w:t xml:space="preserve">EVC (inspection, only where the route requires it)</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Decision → approval letter (EoA / LoA) → appeal to SAC if aggrieved</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rPr/>
      </w:pPr>
      <w:r w:rsidDel="00000000" w:rsidR="00000000" w:rsidRPr="00000000">
        <w:rPr>
          <w:rtl w:val="0"/>
        </w:rPr>
        <w:t xml:space="preserve">Post-approval: conditions, compliance, annual renewal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wjh1l9pvx2z" w:id="2"/>
      <w:bookmarkEnd w:id="2"/>
      <w:r w:rsidDel="00000000" w:rsidR="00000000" w:rsidRPr="00000000">
        <w:rPr>
          <w:b w:val="1"/>
          <w:bCs w:val="1"/>
          <w:sz w:val="34"/>
          <w:szCs w:val="34"/>
          <w:rtl w:val="0"/>
        </w:rPr>
        <w:t xml:space="preserve">Step by step</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 Public notice and schedule.</w:t>
      </w:r>
      <w:r w:rsidDel="00000000" w:rsidR="00000000" w:rsidRPr="00000000">
        <w:rPr>
          <w:rtl w:val="0"/>
        </w:rPr>
        <w:t xml:space="preserve"> AICTE publishes a notice each cycle. The time schedule in the public notice is final and binding.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 Online application.</w:t>
      </w:r>
      <w:r w:rsidDel="00000000" w:rsidR="00000000" w:rsidRPr="00000000">
        <w:rPr>
          <w:rtl w:val="0"/>
        </w:rPr>
        <w:t xml:space="preserve"> An online application is mandatory for any approval request. New institutions register on the AICTE portal or the National Single Window System (NSWS) and upload their land, infrastructure and trust details. Existing institutions apply every year for Extension of Approval (EoA). Institutions that skip a year are treated as a "break in EoA" and processed after infrastructure verification.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 Self-disclosure.</w:t>
      </w:r>
      <w:r w:rsidDel="00000000" w:rsidR="00000000" w:rsidRPr="00000000">
        <w:rPr>
          <w:rtl w:val="0"/>
        </w:rPr>
        <w:t xml:space="preserve"> For EoA, the Council grants approval based on the institution's self-disclosure of facilities and infrastructure submitted online. Applications are processed strictly on the documents uploaded to the portal, and false information can bring civil or criminal action. Documents uploaded without a digital signature are not accepted.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4. Scrutiny.</w:t>
      </w:r>
      <w:r w:rsidDel="00000000" w:rsidR="00000000" w:rsidRPr="00000000">
        <w:rPr>
          <w:rtl w:val="0"/>
        </w:rPr>
        <w:t xml:space="preserve"> The Regional Officer constitutes the Scrutiny Committee by automated member selection on the portal, and the committee verifies the documents. The portal can generate a Deficiency Report for submitted applications.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5. Deficiency, compliance and re-scrutiny.</w:t>
      </w:r>
      <w:r w:rsidDel="00000000" w:rsidR="00000000" w:rsidRPr="00000000">
        <w:rPr>
          <w:rtl w:val="0"/>
        </w:rPr>
        <w:t xml:space="preserve"> The institution gets an opportunity to submit compliance before the Scrutiny/Re-Scrutiny Committee or Hearing Committee to reach "Nil Deficiency". The Standing Hearing Committee (SHC) handles these hearings. It appears in AICTE's own circulars for Chapter II cases.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6. Expert Visit Committee (EVC).</w:t>
      </w:r>
      <w:r w:rsidDel="00000000" w:rsidR="00000000" w:rsidRPr="00000000">
        <w:rPr>
          <w:rtl w:val="0"/>
        </w:rPr>
        <w:t xml:space="preserve"> For routes that need it, the EVC is formed through a portal-based automated process and verifies infrastructure physically or online. Scrutiny, re-scrutiny and EVC are conducted online, with offline mode only in extraordinary circumstances such as court directions, and all processing is recorded for transparency and accountability.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7. Decision and approval letter.</w:t>
      </w:r>
      <w:r w:rsidDel="00000000" w:rsidR="00000000" w:rsidRPr="00000000">
        <w:rPr>
          <w:rtl w:val="0"/>
        </w:rPr>
        <w:t xml:space="preserve"> AICTE reviews the report and issues an approval list. The institution downloads the EoA letter from the portal, since individual letters are not sent by post or email. The letter lists any deficiencies, for example a faculty deficiency flagged, with a pointer to the Deficiency Report, and requires strict compliance with anti-ragging, SC/ST committee, internal committee and safety-certificate provisions.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8. Appeal.</w:t>
      </w:r>
      <w:r w:rsidDel="00000000" w:rsidR="00000000" w:rsidRPr="00000000">
        <w:rPr>
          <w:rtl w:val="0"/>
        </w:rPr>
        <w:t xml:space="preserve"> The Standing Appellate Committee (SAC) hears appeals. In 2019 circulars, an institution aggrieved by the decision of the Executive Committee could appeal, attend the SAC and present compliance, bringing a valid authorization letter from the trust, society or company. The SAC and SHC expansions in my earlier glossary are now confirmed from AICTE's own circulars.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9. After approval.</w:t>
      </w:r>
      <w:r w:rsidDel="00000000" w:rsidR="00000000" w:rsidRPr="00000000">
        <w:rPr>
          <w:rtl w:val="0"/>
        </w:rPr>
        <w:t xml:space="preserve"> Conditions, compliance and mandatory disclosure carry on through the year, and the cycle restarts with the next public notice.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iuvrhhar6r" w:id="3"/>
      <w:bookmarkEnd w:id="3"/>
      <w:r w:rsidDel="00000000" w:rsidR="00000000" w:rsidRPr="00000000">
        <w:rPr>
          <w:b w:val="1"/>
          <w:bCs w:val="1"/>
          <w:sz w:val="34"/>
          <w:szCs w:val="34"/>
          <w:rtl w:val="0"/>
        </w:rPr>
        <w:t xml:space="preserve">Who does what</w:t>
      </w:r>
    </w:p>
    <w:tbl>
      <w:tblPr>
        <w:tblStyle w:val="Table1"/>
        <w:tblW w:w="9205.0" w:type="dxa"/>
        <w:jc w:val="left"/>
        <w:tblLayout w:type="fixed"/>
        <w:tblLook w:val="0600"/>
      </w:tblPr>
      <w:tblGrid>
        <w:gridCol w:w="3350"/>
        <w:gridCol w:w="5855"/>
        <w:tblGridChange w:id="0">
          <w:tblGrid>
            <w:gridCol w:w="3350"/>
            <w:gridCol w:w="58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Institution</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Applies, uploads documents, answers deficiencies, appeals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Regional Officer</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Constitutes the Scrutiny Committee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Scrutiny/Re-scrutiny Committee</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Verifies documents, records deficiencies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SHC</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Hears deficiency compliance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EVC</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Inspects facilities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SAC</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Hears appeals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Approval Bureau / Council</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Issues the decision and letters</w:t>
            </w:r>
          </w:p>
        </w:tc>
      </w:tr>
    </w:tbl>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e99pnew2yi28" w:id="4"/>
      <w:bookmarkEnd w:id="4"/>
      <w:r w:rsidDel="00000000" w:rsidR="00000000" w:rsidRPr="00000000">
        <w:rPr>
          <w:b w:val="1"/>
          <w:bCs w:val="1"/>
          <w:sz w:val="34"/>
          <w:szCs w:val="34"/>
          <w:rtl w:val="0"/>
        </w:rPr>
        <w:t xml:space="preserve">Where your platform fits</w:t>
      </w:r>
    </w:p>
    <w:p w:rsidR="00000000" w:rsidDel="00000000" w:rsidP="00000000" w:rsidRDefault="00000000" w:rsidRPr="00000000" w14:paraId="0000002E">
      <w:pPr>
        <w:spacing w:after="240" w:before="240" w:lineRule="auto"/>
        <w:rPr/>
      </w:pPr>
      <w:r w:rsidDel="00000000" w:rsidR="00000000" w:rsidRPr="00000000">
        <w:rPr>
          <w:rtl w:val="0"/>
        </w:rPr>
        <w:t xml:space="preserve">The portal already handles the </w:t>
      </w:r>
      <w:r w:rsidDel="00000000" w:rsidR="00000000" w:rsidRPr="00000000">
        <w:rPr>
          <w:b w:val="1"/>
          <w:bCs w:val="1"/>
          <w:rtl w:val="0"/>
        </w:rPr>
        <w:t xml:space="preserve">application, committee selection, online scrutiny and EVC, deficiency reports and letters</w:t>
      </w:r>
      <w:r w:rsidDel="00000000" w:rsidR="00000000" w:rsidRPr="00000000">
        <w:rPr>
          <w:rtl w:val="0"/>
        </w:rPr>
        <w:t xml:space="preserve">. The PS gap sits around and after that:</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Tracking pendency, ageing and bottlenecks across stages and Regions.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Monitoring post-approval undertakings and compliance deadlines.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Tracking lease and document validity.</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Reminders, escalation and a tamper-evident audit trail.</w:t>
      </w:r>
    </w:p>
    <w:p w:rsidR="00000000" w:rsidDel="00000000" w:rsidP="00000000" w:rsidRDefault="00000000" w:rsidRPr="00000000" w14:paraId="00000033">
      <w:pPr>
        <w:spacing w:after="240" w:before="240" w:lineRule="auto"/>
        <w:rPr/>
      </w:pPr>
      <w:r w:rsidDel="00000000" w:rsidR="00000000" w:rsidRPr="00000000">
        <w:rPr>
          <w:rtl w:val="0"/>
        </w:rPr>
        <w:t xml:space="preserve">I couldn't find public documentation of how AICTE tracks these internally, so the "manual follow-up" claim rests on the PS text itself. This also supports the framing in your own document: don't claim that digital committee selection is new, since the portal already does it.</w:t>
      </w:r>
    </w:p>
    <w:p w:rsidR="00000000" w:rsidDel="00000000" w:rsidP="00000000" w:rsidRDefault="00000000" w:rsidRPr="00000000" w14:paraId="00000034">
      <w:pPr>
        <w:spacing w:after="240" w:before="240" w:lineRule="auto"/>
        <w:rPr/>
      </w:pPr>
      <w:r w:rsidDel="00000000" w:rsidR="00000000" w:rsidRPr="00000000">
        <w:rPr>
          <w:rtl w:val="0"/>
        </w:rPr>
        <w:t xml:space="preserve">I can turn this into a swimlane diagram of the current workflow with the new platform's touchpoints marked, if that would help.</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