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pPr>
      <w:r>
        <w:rPr>
          <w:rFonts w:ascii="Times New Roman" w:hAnsi="Times New Roman"/>
          <w:b/>
          <w:i w:val="0"/>
          <w:sz w:val="28"/>
        </w:rPr>
        <w:t>DEPARTMENT OF ELECTRONICS &amp; COMMUNICATION ENGINEERING</w:t>
      </w:r>
    </w:p>
    <w:p>
      <w:pPr>
        <w:spacing w:before="0" w:after="720" w:line="276" w:lineRule="auto"/>
        <w:jc w:val="center"/>
      </w:pPr>
      <w:r>
        <w:rPr>
          <w:rFonts w:ascii="Times New Roman" w:hAnsi="Times New Roman"/>
          <w:b/>
          <w:i w:val="0"/>
          <w:sz w:val="32"/>
        </w:rPr>
        <w:t>ACADEMIC CASE STUDY REPORT</w:t>
      </w:r>
    </w:p>
    <w:tbl>
      <w:tblPr>
        <w:tblW w:type="auto" w:w="0"/>
        <w:jc w:val="center"/>
        <w:tblLook w:firstColumn="1" w:firstRow="1" w:lastColumn="0" w:lastRow="0" w:noHBand="0" w:noVBand="1" w:val="04A0"/>
      </w:tblPr>
      <w:tblGrid>
        <w:gridCol w:w="9360"/>
      </w:tblGrid>
      <w:tr>
        <w:tc>
          <w:tcPr>
            <w:tcW w:type="dxa" w:w="9360"/>
            <w:shd w:fill="F1F5F9"/>
            <w:tcMar>
              <w:top w:w="200" w:type="dxa"/>
              <w:bottom w:w="200" w:type="dxa"/>
              <w:left w:w="250" w:type="dxa"/>
              <w:right w:w="250" w:type="dxa"/>
            </w:tcMar>
          </w:tcPr>
          <w:p>
            <w:pPr>
              <w:jc w:val="center"/>
            </w:pPr>
            <w:r>
              <w:rPr>
                <w:rFonts w:ascii="Times New Roman" w:hAnsi="Times New Roman"/>
                <w:b/>
                <w:sz w:val="32"/>
              </w:rPr>
              <w:t>AIR-GAPPED MULTI-AGENT DOCUMENT INTELLIGENCE &amp;</w:t>
              <w:br/>
              <w:t>PRIVACY-PRESERVING TRUE HARDWARE REDACTION ENGINE</w:t>
            </w:r>
          </w:p>
        </w:tc>
      </w:tr>
    </w:tbl>
    <w:p>
      <w:pPr>
        <w:spacing w:before="0" w:after="720" w:line="276" w:lineRule="auto"/>
        <w:jc w:val="left"/>
      </w:pPr>
      <w:r>
        <w:rPr>
          <w:rFonts w:ascii="Times New Roman" w:hAnsi="Times New Roman"/>
          <w:b w:val="0"/>
          <w:i w:val="0"/>
          <w:sz w:val="24"/>
        </w:rPr>
      </w:r>
    </w:p>
    <w:tbl>
      <w:tblPr>
        <w:tblW w:type="auto" w:w="0"/>
        <w:jc w:val="center"/>
        <w:tblLook w:firstColumn="1" w:firstRow="1" w:lastColumn="0" w:lastRow="0" w:noHBand="0" w:noVBand="1" w:val="04A0"/>
      </w:tblPr>
      <w:tblGrid>
        <w:gridCol w:w="4680"/>
        <w:gridCol w:w="4680"/>
      </w:tblGrid>
      <w:tr>
        <w:tc>
          <w:tcPr>
            <w:tcW w:type="dxa" w:w="3600"/>
          </w:tcPr>
          <w:p>
            <w:r>
              <w:rPr>
                <w:b/>
              </w:rPr>
              <w:t>Course Name &amp; Code:</w:t>
            </w:r>
          </w:p>
        </w:tc>
        <w:tc>
          <w:tcPr>
            <w:tcW w:type="dxa" w:w="5760"/>
          </w:tcPr>
          <w:p>
            <w:r>
              <w:t>Digital Image Processing &amp; AI Systems (4ENCO1021)</w:t>
            </w:r>
          </w:p>
        </w:tc>
      </w:tr>
      <w:tr>
        <w:tc>
          <w:tcPr>
            <w:tcW w:type="dxa" w:w="3600"/>
          </w:tcPr>
          <w:p>
            <w:r>
              <w:rPr>
                <w:b/>
              </w:rPr>
              <w:t>Student Name:</w:t>
            </w:r>
          </w:p>
        </w:tc>
        <w:tc>
          <w:tcPr>
            <w:tcW w:type="dxa" w:w="5760"/>
          </w:tcPr>
          <w:p>
            <w:r>
              <w:t>Maha Akshay R</w:t>
            </w:r>
          </w:p>
        </w:tc>
      </w:tr>
      <w:tr>
        <w:tc>
          <w:tcPr>
            <w:tcW w:type="dxa" w:w="3600"/>
          </w:tcPr>
          <w:p>
            <w:r>
              <w:rPr>
                <w:b/>
              </w:rPr>
              <w:t>USN / Roll Number:</w:t>
            </w:r>
          </w:p>
        </w:tc>
        <w:tc>
          <w:tcPr>
            <w:tcW w:type="dxa" w:w="5760"/>
          </w:tcPr>
          <w:p>
            <w:r>
              <w:t>24BBTCS352</w:t>
            </w:r>
          </w:p>
        </w:tc>
      </w:tr>
      <w:tr>
        <w:tc>
          <w:tcPr>
            <w:tcW w:type="dxa" w:w="3600"/>
          </w:tcPr>
          <w:p>
            <w:r>
              <w:rPr>
                <w:b/>
              </w:rPr>
              <w:t>Department:</w:t>
            </w:r>
          </w:p>
        </w:tc>
        <w:tc>
          <w:tcPr>
            <w:tcW w:type="dxa" w:w="5760"/>
          </w:tcPr>
          <w:p>
            <w:r>
              <w:t>Department of Electronics &amp; Communication Engineering</w:t>
            </w:r>
          </w:p>
        </w:tc>
      </w:tr>
      <w:tr>
        <w:tc>
          <w:tcPr>
            <w:tcW w:type="dxa" w:w="3600"/>
          </w:tcPr>
          <w:p>
            <w:r>
              <w:rPr>
                <w:b/>
              </w:rPr>
              <w:t>Faculty Guide:</w:t>
            </w:r>
          </w:p>
        </w:tc>
        <w:tc>
          <w:tcPr>
            <w:tcW w:type="dxa" w:w="5760"/>
          </w:tcPr>
          <w:p>
            <w:r>
              <w:t>Prof. Akshatha Bhat</w:t>
            </w:r>
          </w:p>
        </w:tc>
      </w:tr>
      <w:tr>
        <w:tc>
          <w:tcPr>
            <w:tcW w:type="dxa" w:w="3600"/>
          </w:tcPr>
          <w:p>
            <w:r>
              <w:rPr>
                <w:b/>
              </w:rPr>
              <w:t>Date of Submission:</w:t>
            </w:r>
          </w:p>
        </w:tc>
        <w:tc>
          <w:tcPr>
            <w:tcW w:type="dxa" w:w="5760"/>
          </w:tcPr>
          <w:p>
            <w:r>
              <w:t>October 7, 2026</w:t>
            </w:r>
          </w:p>
        </w:tc>
      </w:tr>
    </w:tbl>
    <w:p>
      <w:pPr>
        <w:spacing w:before="0" w:after="800" w:line="276" w:lineRule="auto"/>
        <w:jc w:val="left"/>
      </w:pPr>
      <w:r>
        <w:rPr>
          <w:rFonts w:ascii="Times New Roman" w:hAnsi="Times New Roman"/>
          <w:b w:val="0"/>
          <w:i w:val="0"/>
          <w:sz w:val="24"/>
        </w:rPr>
      </w:r>
    </w:p>
    <w:p>
      <w:pPr>
        <w:spacing w:before="0" w:after="120" w:line="276" w:lineRule="auto"/>
        <w:jc w:val="center"/>
      </w:pPr>
      <w:r>
        <w:rPr>
          <w:rFonts w:ascii="Times New Roman" w:hAnsi="Times New Roman"/>
          <w:b w:val="0"/>
          <w:i/>
          <w:sz w:val="22"/>
        </w:rPr>
        <w:t>Academic Year 2026–2027</w:t>
      </w:r>
    </w:p>
    <w:p>
      <w:r>
        <w:br w:type="page"/>
      </w:r>
    </w:p>
    <w:p>
      <w:pPr>
        <w:keepNext/>
        <w:spacing w:before="280" w:after="120"/>
      </w:pPr>
      <w:r>
        <w:rPr>
          <w:rFonts w:ascii="Times New Roman" w:hAnsi="Times New Roman"/>
          <w:b/>
          <w:color w:val="0F172A"/>
          <w:sz w:val="30"/>
        </w:rPr>
        <w:t>TABLE OF CONTENTS</w:t>
      </w:r>
    </w:p>
    <w:p>
      <w:pPr>
        <w:spacing w:line="252" w:lineRule="auto" w:after="40"/>
      </w:pPr>
      <w:r>
        <w:rPr>
          <w:rFonts w:ascii="Times New Roman" w:hAnsi="Times New Roman"/>
          <w:sz w:val="22"/>
        </w:rPr>
        <w:t>1. Introduction</w:t>
      </w:r>
      <w:r>
        <w:rPr>
          <w:color w:val="94A3B8"/>
        </w:rPr>
        <w:t xml:space="preserve"> ..................................................... </w:t>
      </w:r>
      <w:r>
        <w:rPr>
          <w:b/>
        </w:rPr>
        <w:t>1</w:t>
      </w:r>
    </w:p>
    <w:p>
      <w:pPr>
        <w:spacing w:line="252" w:lineRule="auto" w:after="40"/>
      </w:pPr>
      <w:r>
        <w:rPr>
          <w:rFonts w:ascii="Times New Roman" w:hAnsi="Times New Roman"/>
          <w:sz w:val="22"/>
        </w:rPr>
        <w:t xml:space="preserve">   1.1 Background of Document Processing &amp; Data Privacy</w:t>
      </w:r>
      <w:r>
        <w:rPr>
          <w:color w:val="94A3B8"/>
        </w:rPr>
        <w:t xml:space="preserve"> ............. </w:t>
      </w:r>
      <w:r>
        <w:rPr>
          <w:b/>
        </w:rPr>
        <w:t>1</w:t>
      </w:r>
    </w:p>
    <w:p>
      <w:pPr>
        <w:spacing w:line="252" w:lineRule="auto" w:after="40"/>
      </w:pPr>
      <w:r>
        <w:rPr>
          <w:rFonts w:ascii="Times New Roman" w:hAnsi="Times New Roman"/>
          <w:sz w:val="22"/>
        </w:rPr>
        <w:t xml:space="preserve">   1.2 Significance in Regulated Enterprise Ecosystems</w:t>
      </w:r>
      <w:r>
        <w:rPr>
          <w:color w:val="94A3B8"/>
        </w:rPr>
        <w:t xml:space="preserve"> .............. </w:t>
      </w:r>
      <w:r>
        <w:rPr>
          <w:b/>
        </w:rPr>
        <w:t>1</w:t>
      </w:r>
    </w:p>
    <w:p>
      <w:pPr>
        <w:spacing w:line="252" w:lineRule="auto" w:after="40"/>
      </w:pPr>
      <w:r>
        <w:rPr>
          <w:rFonts w:ascii="Times New Roman" w:hAnsi="Times New Roman"/>
          <w:sz w:val="22"/>
        </w:rPr>
        <w:t xml:space="preserve">   1.3 Brief Technology Overview</w:t>
      </w:r>
      <w:r>
        <w:rPr>
          <w:color w:val="94A3B8"/>
        </w:rPr>
        <w:t xml:space="preserve"> .................................... </w:t>
      </w:r>
      <w:r>
        <w:rPr>
          <w:b/>
        </w:rPr>
        <w:t>2</w:t>
      </w:r>
    </w:p>
    <w:p>
      <w:pPr>
        <w:spacing w:line="252" w:lineRule="auto" w:after="40"/>
      </w:pPr>
      <w:r>
        <w:rPr>
          <w:rFonts w:ascii="Times New Roman" w:hAnsi="Times New Roman"/>
          <w:sz w:val="22"/>
        </w:rPr>
        <w:t>2. Problem Statement</w:t>
      </w:r>
      <w:r>
        <w:rPr>
          <w:color w:val="94A3B8"/>
        </w:rPr>
        <w:t xml:space="preserve"> ................................................ </w:t>
      </w:r>
      <w:r>
        <w:rPr>
          <w:b/>
        </w:rPr>
        <w:t>2</w:t>
      </w:r>
    </w:p>
    <w:p>
      <w:pPr>
        <w:spacing w:line="252" w:lineRule="auto" w:after="40"/>
      </w:pPr>
      <w:r>
        <w:rPr>
          <w:rFonts w:ascii="Times New Roman" w:hAnsi="Times New Roman"/>
          <w:sz w:val="22"/>
        </w:rPr>
        <w:t xml:space="preserve">   2.1 The 'Fake Redaction' Vulnerability in Commercial PDF Viewers</w:t>
      </w:r>
      <w:r>
        <w:rPr>
          <w:color w:val="94A3B8"/>
        </w:rPr>
        <w:t xml:space="preserve"> .. </w:t>
      </w:r>
      <w:r>
        <w:rPr>
          <w:b/>
        </w:rPr>
        <w:t>2</w:t>
      </w:r>
    </w:p>
    <w:p>
      <w:pPr>
        <w:spacing w:line="252" w:lineRule="auto" w:after="40"/>
      </w:pPr>
      <w:r>
        <w:rPr>
          <w:rFonts w:ascii="Times New Roman" w:hAnsi="Times New Roman"/>
          <w:sz w:val="22"/>
        </w:rPr>
        <w:t xml:space="preserve">   2.2 Cloud LLM Data Ingress &amp; Regulatory Breach</w:t>
      </w:r>
      <w:r>
        <w:rPr>
          <w:color w:val="94A3B8"/>
        </w:rPr>
        <w:t xml:space="preserve"> ................... </w:t>
      </w:r>
      <w:r>
        <w:rPr>
          <w:b/>
        </w:rPr>
        <w:t>3</w:t>
      </w:r>
    </w:p>
    <w:p>
      <w:pPr>
        <w:spacing w:line="252" w:lineRule="auto" w:after="40"/>
      </w:pPr>
      <w:r>
        <w:rPr>
          <w:rFonts w:ascii="Times New Roman" w:hAnsi="Times New Roman"/>
          <w:sz w:val="22"/>
        </w:rPr>
        <w:t xml:space="preserve">   2.3 Monolithic Context Windows &amp; Tabular Hallucination</w:t>
      </w:r>
      <w:r>
        <w:rPr>
          <w:color w:val="94A3B8"/>
        </w:rPr>
        <w:t xml:space="preserve"> ........... </w:t>
      </w:r>
      <w:r>
        <w:rPr>
          <w:b/>
        </w:rPr>
        <w:t>3</w:t>
      </w:r>
    </w:p>
    <w:p>
      <w:pPr>
        <w:spacing w:line="252" w:lineRule="auto" w:after="40"/>
      </w:pPr>
      <w:r>
        <w:rPr>
          <w:rFonts w:ascii="Times New Roman" w:hAnsi="Times New Roman"/>
          <w:sz w:val="22"/>
        </w:rPr>
        <w:t>3. Objectives</w:t>
      </w:r>
      <w:r>
        <w:rPr>
          <w:color w:val="94A3B8"/>
        </w:rPr>
        <w:t xml:space="preserve"> ....................................................... </w:t>
      </w:r>
      <w:r>
        <w:rPr>
          <w:b/>
        </w:rPr>
        <w:t>3</w:t>
      </w:r>
    </w:p>
    <w:p>
      <w:pPr>
        <w:spacing w:line="252" w:lineRule="auto" w:after="40"/>
      </w:pPr>
      <w:r>
        <w:rPr>
          <w:rFonts w:ascii="Times New Roman" w:hAnsi="Times New Roman"/>
          <w:sz w:val="22"/>
        </w:rPr>
        <w:t>4. Technology Overview</w:t>
      </w:r>
      <w:r>
        <w:rPr>
          <w:color w:val="94A3B8"/>
        </w:rPr>
        <w:t xml:space="preserve"> .............................................. </w:t>
      </w:r>
      <w:r>
        <w:rPr>
          <w:b/>
        </w:rPr>
        <w:t>4</w:t>
      </w:r>
    </w:p>
    <w:p>
      <w:pPr>
        <w:spacing w:line="252" w:lineRule="auto" w:after="40"/>
      </w:pPr>
      <w:r>
        <w:rPr>
          <w:rFonts w:ascii="Times New Roman" w:hAnsi="Times New Roman"/>
          <w:sz w:val="22"/>
        </w:rPr>
        <w:t xml:space="preserve">   4.1 Core Concepts &amp; Theoretical Foundations</w:t>
      </w:r>
      <w:r>
        <w:rPr>
          <w:color w:val="94A3B8"/>
        </w:rPr>
        <w:t xml:space="preserve"> ...................... </w:t>
      </w:r>
      <w:r>
        <w:rPr>
          <w:b/>
        </w:rPr>
        <w:t>4</w:t>
      </w:r>
    </w:p>
    <w:p>
      <w:pPr>
        <w:spacing w:line="252" w:lineRule="auto" w:after="40"/>
      </w:pPr>
      <w:r>
        <w:rPr>
          <w:rFonts w:ascii="Times New Roman" w:hAnsi="Times New Roman"/>
          <w:sz w:val="22"/>
        </w:rPr>
        <w:t xml:space="preserve">   4.2 Multi-Agent Directed Acyclic Graph (DAG) Topology</w:t>
      </w:r>
      <w:r>
        <w:rPr>
          <w:color w:val="94A3B8"/>
        </w:rPr>
        <w:t xml:space="preserve"> ............ </w:t>
      </w:r>
      <w:r>
        <w:rPr>
          <w:b/>
        </w:rPr>
        <w:t>4</w:t>
      </w:r>
    </w:p>
    <w:p>
      <w:pPr>
        <w:spacing w:line="252" w:lineRule="auto" w:after="40"/>
      </w:pPr>
      <w:r>
        <w:rPr>
          <w:rFonts w:ascii="Times New Roman" w:hAnsi="Times New Roman"/>
          <w:sz w:val="22"/>
        </w:rPr>
        <w:t xml:space="preserve">   4.3 Mathematical Models &amp; Differential Privacy Formulations</w:t>
      </w:r>
      <w:r>
        <w:rPr>
          <w:color w:val="94A3B8"/>
        </w:rPr>
        <w:t xml:space="preserve"> ...... </w:t>
      </w:r>
      <w:r>
        <w:rPr>
          <w:b/>
        </w:rPr>
        <w:t>5</w:t>
      </w:r>
    </w:p>
    <w:p>
      <w:pPr>
        <w:spacing w:line="252" w:lineRule="auto" w:after="40"/>
      </w:pPr>
      <w:r>
        <w:rPr>
          <w:rFonts w:ascii="Times New Roman" w:hAnsi="Times New Roman"/>
          <w:sz w:val="22"/>
        </w:rPr>
        <w:t>5. Methodology / Working Process</w:t>
      </w:r>
      <w:r>
        <w:rPr>
          <w:color w:val="94A3B8"/>
        </w:rPr>
        <w:t xml:space="preserve"> .................................... </w:t>
      </w:r>
      <w:r>
        <w:rPr>
          <w:b/>
        </w:rPr>
        <w:t>5</w:t>
      </w:r>
    </w:p>
    <w:p>
      <w:pPr>
        <w:spacing w:line="252" w:lineRule="auto" w:after="40"/>
      </w:pPr>
      <w:r>
        <w:rPr>
          <w:rFonts w:ascii="Times New Roman" w:hAnsi="Times New Roman"/>
          <w:sz w:val="22"/>
        </w:rPr>
        <w:t xml:space="preserve">   5.1 Step-by-Step Document Lifecycle Pipeline</w:t>
      </w:r>
      <w:r>
        <w:rPr>
          <w:color w:val="94A3B8"/>
        </w:rPr>
        <w:t xml:space="preserve"> ..................... </w:t>
      </w:r>
      <w:r>
        <w:rPr>
          <w:b/>
        </w:rPr>
        <w:t>5</w:t>
      </w:r>
    </w:p>
    <w:p>
      <w:pPr>
        <w:spacing w:line="252" w:lineRule="auto" w:after="40"/>
      </w:pPr>
      <w:r>
        <w:rPr>
          <w:rFonts w:ascii="Times New Roman" w:hAnsi="Times New Roman"/>
          <w:sz w:val="22"/>
        </w:rPr>
        <w:t xml:space="preserve">   5.2 Algorithmic Execution Workflow</w:t>
      </w:r>
      <w:r>
        <w:rPr>
          <w:color w:val="94A3B8"/>
        </w:rPr>
        <w:t xml:space="preserve"> ............................... </w:t>
      </w:r>
      <w:r>
        <w:rPr>
          <w:b/>
        </w:rPr>
        <w:t>6</w:t>
      </w:r>
    </w:p>
    <w:p>
      <w:pPr>
        <w:spacing w:line="252" w:lineRule="auto" w:after="40"/>
      </w:pPr>
      <w:r>
        <w:rPr>
          <w:rFonts w:ascii="Times New Roman" w:hAnsi="Times New Roman"/>
          <w:sz w:val="22"/>
        </w:rPr>
        <w:t>6. Real-World Case Study: Healthcare Billing &amp; Clinical PHI Redaction</w:t>
      </w:r>
      <w:r>
        <w:rPr>
          <w:color w:val="94A3B8"/>
        </w:rPr>
        <w:t xml:space="preserve"> .. </w:t>
      </w:r>
      <w:r>
        <w:rPr>
          <w:b/>
        </w:rPr>
        <w:t>7</w:t>
      </w:r>
    </w:p>
    <w:p>
      <w:pPr>
        <w:spacing w:line="252" w:lineRule="auto" w:after="40"/>
      </w:pPr>
      <w:r>
        <w:rPr>
          <w:rFonts w:ascii="Times New Roman" w:hAnsi="Times New Roman"/>
          <w:sz w:val="22"/>
        </w:rPr>
        <w:t xml:space="preserve">   6.1 Organization Profile: Apex Memorial Hospital</w:t>
      </w:r>
      <w:r>
        <w:rPr>
          <w:color w:val="94A3B8"/>
        </w:rPr>
        <w:t xml:space="preserve"> ................. </w:t>
      </w:r>
      <w:r>
        <w:rPr>
          <w:b/>
        </w:rPr>
        <w:t>7</w:t>
      </w:r>
    </w:p>
    <w:p>
      <w:pPr>
        <w:spacing w:line="252" w:lineRule="auto" w:after="40"/>
      </w:pPr>
      <w:r>
        <w:rPr>
          <w:rFonts w:ascii="Times New Roman" w:hAnsi="Times New Roman"/>
          <w:sz w:val="22"/>
        </w:rPr>
        <w:t xml:space="preserve">   6.2 The Compliance &amp; Workflow Crisis</w:t>
      </w:r>
      <w:r>
        <w:rPr>
          <w:color w:val="94A3B8"/>
        </w:rPr>
        <w:t xml:space="preserve"> ............................. </w:t>
      </w:r>
      <w:r>
        <w:rPr>
          <w:b/>
        </w:rPr>
        <w:t>7</w:t>
      </w:r>
    </w:p>
    <w:p>
      <w:pPr>
        <w:spacing w:line="252" w:lineRule="auto" w:after="40"/>
      </w:pPr>
      <w:r>
        <w:rPr>
          <w:rFonts w:ascii="Times New Roman" w:hAnsi="Times New Roman"/>
          <w:sz w:val="22"/>
        </w:rPr>
        <w:t xml:space="preserve">   6.3 Multi-Agent Solution Implementation</w:t>
      </w:r>
      <w:r>
        <w:rPr>
          <w:color w:val="94A3B8"/>
        </w:rPr>
        <w:t xml:space="preserve"> .......................... </w:t>
      </w:r>
      <w:r>
        <w:rPr>
          <w:b/>
        </w:rPr>
        <w:t>7</w:t>
      </w:r>
    </w:p>
    <w:p>
      <w:pPr>
        <w:spacing w:line="252" w:lineRule="auto" w:after="40"/>
      </w:pPr>
      <w:r>
        <w:rPr>
          <w:rFonts w:ascii="Times New Roman" w:hAnsi="Times New Roman"/>
          <w:sz w:val="22"/>
        </w:rPr>
        <w:t xml:space="preserve">   6.4 Measured Empirical Outcomes</w:t>
      </w:r>
      <w:r>
        <w:rPr>
          <w:color w:val="94A3B8"/>
        </w:rPr>
        <w:t xml:space="preserve"> .................................. </w:t>
      </w:r>
      <w:r>
        <w:rPr>
          <w:b/>
        </w:rPr>
        <w:t>8</w:t>
      </w:r>
    </w:p>
    <w:p>
      <w:pPr>
        <w:spacing w:line="252" w:lineRule="auto" w:after="40"/>
      </w:pPr>
      <w:r>
        <w:rPr>
          <w:rFonts w:ascii="Times New Roman" w:hAnsi="Times New Roman"/>
          <w:sz w:val="22"/>
        </w:rPr>
        <w:t>7. Tools and Technologies Used</w:t>
      </w:r>
      <w:r>
        <w:rPr>
          <w:color w:val="94A3B8"/>
        </w:rPr>
        <w:t xml:space="preserve"> ...................................... </w:t>
      </w:r>
      <w:r>
        <w:rPr>
          <w:b/>
        </w:rPr>
        <w:t>8</w:t>
      </w:r>
    </w:p>
    <w:p>
      <w:pPr>
        <w:spacing w:line="252" w:lineRule="auto" w:after="40"/>
      </w:pPr>
      <w:r>
        <w:rPr>
          <w:rFonts w:ascii="Times New Roman" w:hAnsi="Times New Roman"/>
          <w:sz w:val="22"/>
        </w:rPr>
        <w:t>8. Advantages of the System</w:t>
      </w:r>
      <w:r>
        <w:rPr>
          <w:color w:val="94A3B8"/>
        </w:rPr>
        <w:t xml:space="preserve"> ......................................... </w:t>
      </w:r>
      <w:r>
        <w:rPr>
          <w:b/>
        </w:rPr>
        <w:t>9</w:t>
      </w:r>
    </w:p>
    <w:p>
      <w:pPr>
        <w:spacing w:line="252" w:lineRule="auto" w:after="40"/>
      </w:pPr>
      <w:r>
        <w:rPr>
          <w:rFonts w:ascii="Times New Roman" w:hAnsi="Times New Roman"/>
          <w:sz w:val="22"/>
        </w:rPr>
        <w:t>9. Limitations / Technical Challenges</w:t>
      </w:r>
      <w:r>
        <w:rPr>
          <w:color w:val="94A3B8"/>
        </w:rPr>
        <w:t xml:space="preserve"> ............................... </w:t>
      </w:r>
      <w:r>
        <w:rPr>
          <w:b/>
        </w:rPr>
        <w:t>10</w:t>
      </w:r>
    </w:p>
    <w:p>
      <w:pPr>
        <w:spacing w:line="252" w:lineRule="auto" w:after="40"/>
      </w:pPr>
      <w:r>
        <w:rPr>
          <w:rFonts w:ascii="Times New Roman" w:hAnsi="Times New Roman"/>
          <w:sz w:val="22"/>
        </w:rPr>
        <w:t>10. Future Scope</w:t>
      </w:r>
      <w:r>
        <w:rPr>
          <w:color w:val="94A3B8"/>
        </w:rPr>
        <w:t xml:space="preserve"> .................................................... </w:t>
      </w:r>
      <w:r>
        <w:rPr>
          <w:b/>
        </w:rPr>
        <w:t>10</w:t>
      </w:r>
    </w:p>
    <w:p>
      <w:pPr>
        <w:spacing w:line="252" w:lineRule="auto" w:after="40"/>
      </w:pPr>
      <w:r>
        <w:rPr>
          <w:rFonts w:ascii="Times New Roman" w:hAnsi="Times New Roman"/>
          <w:sz w:val="22"/>
        </w:rPr>
        <w:t>11. Results, Empirical Performance &amp; Quantitative Impact</w:t>
      </w:r>
      <w:r>
        <w:rPr>
          <w:color w:val="94A3B8"/>
        </w:rPr>
        <w:t xml:space="preserve"> ............ </w:t>
      </w:r>
      <w:r>
        <w:rPr>
          <w:b/>
        </w:rPr>
        <w:t>11</w:t>
      </w:r>
    </w:p>
    <w:p>
      <w:pPr>
        <w:spacing w:line="252" w:lineRule="auto" w:after="40"/>
      </w:pPr>
      <w:r>
        <w:rPr>
          <w:rFonts w:ascii="Times New Roman" w:hAnsi="Times New Roman"/>
          <w:sz w:val="22"/>
        </w:rPr>
        <w:t xml:space="preserve">    11.1 Benchmark Timing Across Pipeline Nodes</w:t>
      </w:r>
      <w:r>
        <w:rPr>
          <w:color w:val="94A3B8"/>
        </w:rPr>
        <w:t xml:space="preserve"> ..................... </w:t>
      </w:r>
      <w:r>
        <w:rPr>
          <w:b/>
        </w:rPr>
        <w:t>11</w:t>
      </w:r>
    </w:p>
    <w:p>
      <w:pPr>
        <w:spacing w:line="252" w:lineRule="auto" w:after="40"/>
      </w:pPr>
      <w:r>
        <w:rPr>
          <w:rFonts w:ascii="Times New Roman" w:hAnsi="Times New Roman"/>
          <w:sz w:val="22"/>
        </w:rPr>
        <w:t xml:space="preserve">    11.2 Residual Text Stream Extraction Verification</w:t>
      </w:r>
      <w:r>
        <w:rPr>
          <w:color w:val="94A3B8"/>
        </w:rPr>
        <w:t xml:space="preserve"> ............... </w:t>
      </w:r>
      <w:r>
        <w:rPr>
          <w:b/>
        </w:rPr>
        <w:t>11</w:t>
      </w:r>
    </w:p>
    <w:p>
      <w:pPr>
        <w:spacing w:line="252" w:lineRule="auto" w:after="40"/>
      </w:pPr>
      <w:r>
        <w:rPr>
          <w:rFonts w:ascii="Times New Roman" w:hAnsi="Times New Roman"/>
          <w:sz w:val="22"/>
        </w:rPr>
        <w:t xml:space="preserve">    11.3 Quantitative Impact Comparison Table</w:t>
      </w:r>
      <w:r>
        <w:rPr>
          <w:color w:val="94A3B8"/>
        </w:rPr>
        <w:t xml:space="preserve"> ....................... </w:t>
      </w:r>
      <w:r>
        <w:rPr>
          <w:b/>
        </w:rPr>
        <w:t>12</w:t>
      </w:r>
    </w:p>
    <w:p>
      <w:pPr>
        <w:spacing w:line="252" w:lineRule="auto" w:after="40"/>
      </w:pPr>
      <w:r>
        <w:rPr>
          <w:rFonts w:ascii="Times New Roman" w:hAnsi="Times New Roman"/>
          <w:sz w:val="22"/>
        </w:rPr>
        <w:t>12. Conclusion</w:t>
      </w:r>
      <w:r>
        <w:rPr>
          <w:color w:val="94A3B8"/>
        </w:rPr>
        <w:t xml:space="preserve"> ...................................................... </w:t>
      </w:r>
      <w:r>
        <w:rPr>
          <w:b/>
        </w:rPr>
        <w:t>12</w:t>
      </w:r>
    </w:p>
    <w:p>
      <w:pPr>
        <w:spacing w:line="252" w:lineRule="auto" w:after="40"/>
      </w:pPr>
      <w:r>
        <w:rPr>
          <w:rFonts w:ascii="Times New Roman" w:hAnsi="Times New Roman"/>
          <w:sz w:val="22"/>
        </w:rPr>
        <w:t>13. References (IEEE / APA Format)</w:t>
      </w:r>
      <w:r>
        <w:rPr>
          <w:color w:val="94A3B8"/>
        </w:rPr>
        <w:t xml:space="preserve"> .................................. </w:t>
      </w:r>
      <w:r>
        <w:rPr>
          <w:b/>
        </w:rPr>
        <w:t>13</w:t>
      </w:r>
    </w:p>
    <w:p>
      <w:pPr>
        <w:spacing w:line="252" w:lineRule="auto" w:after="40"/>
      </w:pPr>
      <w:r>
        <w:rPr>
          <w:rFonts w:ascii="Times New Roman" w:hAnsi="Times New Roman"/>
          <w:sz w:val="22"/>
        </w:rPr>
        <w:t>14. Supporting Materials &amp; Diagrams</w:t>
      </w:r>
      <w:r>
        <w:rPr>
          <w:color w:val="94A3B8"/>
        </w:rPr>
        <w:t xml:space="preserve"> ................................. </w:t>
      </w:r>
      <w:r>
        <w:rPr>
          <w:b/>
        </w:rPr>
        <w:t>14</w:t>
      </w:r>
    </w:p>
    <w:p>
      <w:r>
        <w:br w:type="page"/>
      </w:r>
    </w:p>
    <w:p>
      <w:pPr>
        <w:keepNext/>
        <w:spacing w:before="280" w:after="120"/>
      </w:pPr>
      <w:r>
        <w:rPr>
          <w:rFonts w:ascii="Times New Roman" w:hAnsi="Times New Roman"/>
          <w:b/>
          <w:color w:val="0F172A"/>
          <w:sz w:val="30"/>
        </w:rPr>
        <w:t>1. INTRODUCTION</w:t>
      </w:r>
    </w:p>
    <w:p>
      <w:pPr>
        <w:keepNext/>
        <w:spacing w:before="200" w:after="80"/>
      </w:pPr>
      <w:r>
        <w:rPr>
          <w:rFonts w:ascii="Times New Roman" w:hAnsi="Times New Roman"/>
          <w:b/>
          <w:color w:val="1E293B"/>
          <w:sz w:val="26"/>
        </w:rPr>
        <w:t>1.1 Background of Document Processing &amp; Data Privacy</w:t>
      </w:r>
    </w:p>
    <w:p>
      <w:pPr>
        <w:spacing w:before="0" w:after="120" w:line="276" w:lineRule="auto"/>
        <w:jc w:val="left"/>
      </w:pPr>
      <w:r>
        <w:rPr>
          <w:rFonts w:ascii="Times New Roman" w:hAnsi="Times New Roman"/>
          <w:b w:val="0"/>
          <w:i w:val="0"/>
          <w:sz w:val="24"/>
        </w:rPr>
        <w:t>In modern enterprise and institutional infrastructure, document workflows represent the primary vehicle for communication, billing, legal agreements, and academic evaluations. Billions of unstructured and semi-structured documents—ranging from patient medical statements and non-disclosure agreements (NDAs) to university coursework sheets—are ingested, archived, and processed digitally every single day.</w:t>
      </w:r>
    </w:p>
    <w:p>
      <w:pPr>
        <w:spacing w:before="0" w:after="120" w:line="276" w:lineRule="auto"/>
        <w:jc w:val="left"/>
      </w:pPr>
      <w:r>
        <w:rPr>
          <w:rFonts w:ascii="Times New Roman" w:hAnsi="Times New Roman"/>
          <w:b w:val="0"/>
          <w:i w:val="0"/>
          <w:sz w:val="24"/>
        </w:rPr>
        <w:t>With the recent emergence of Generative Artificial Intelligence and Large Language Models (LLMs), organizations are aggressively automating document parsing, invoice reconciliation, and risk auditing. However, this automation drive has triggered an acute regulatory collision: documents in healthcare, finance, law, and education are saturated with Personally Identifiable Information (PII) and Protected Health Information (PHI).</w:t>
      </w:r>
    </w:p>
    <w:p>
      <w:pPr>
        <w:keepNext/>
        <w:spacing w:before="200" w:after="80"/>
      </w:pPr>
      <w:r>
        <w:rPr>
          <w:rFonts w:ascii="Times New Roman" w:hAnsi="Times New Roman"/>
          <w:b/>
          <w:color w:val="1E293B"/>
          <w:sz w:val="26"/>
        </w:rPr>
        <w:t>1.2 Significance in Regulated Enterprise Ecosystems</w:t>
      </w:r>
    </w:p>
    <w:p>
      <w:pPr>
        <w:spacing w:before="0" w:after="120" w:line="276" w:lineRule="auto"/>
        <w:jc w:val="left"/>
      </w:pPr>
      <w:r>
        <w:rPr>
          <w:rFonts w:ascii="Times New Roman" w:hAnsi="Times New Roman"/>
          <w:b w:val="0"/>
          <w:i w:val="0"/>
          <w:sz w:val="24"/>
        </w:rPr>
        <w:t>Under statutory frameworks such as the Health Insurance Portability and Accountability Act (HIPAA 45 CFR § 164.514) in the United States, the General Data Protection Regulation (GDPR Article 5) in the European Union, and the Family Educational Rights and Privacy Act (FERPA 34 CFR Part 99), transmitting unmasked direct identifiers outside secured institutional perimeters constitutes an actionable compliance violation. Violations risk statutory fines, civil liability, reputational destruction, and intellectual property compromise.</w:t>
      </w:r>
    </w:p>
    <w:p>
      <w:pPr>
        <w:spacing w:before="0" w:after="120" w:line="276" w:lineRule="auto"/>
        <w:jc w:val="left"/>
      </w:pPr>
      <w:r>
        <w:rPr>
          <w:rFonts w:ascii="Times New Roman" w:hAnsi="Times New Roman"/>
          <w:b w:val="0"/>
          <w:i w:val="0"/>
          <w:sz w:val="24"/>
        </w:rPr>
        <w:t>Consequently, regulated institutions require an air-gapped, zero-data-egress processing pipeline capable of analyzing complex document structures, extracting structured schemas, and expunging sensitive personal data with cryptographic and physical finality before any record is shared, indexed, or aggregated.</w:t>
      </w:r>
    </w:p>
    <w:p>
      <w:pPr>
        <w:keepNext/>
        <w:spacing w:before="200" w:after="80"/>
      </w:pPr>
      <w:r>
        <w:rPr>
          <w:rFonts w:ascii="Times New Roman" w:hAnsi="Times New Roman"/>
          <w:b/>
          <w:color w:val="1E293B"/>
          <w:sz w:val="26"/>
        </w:rPr>
        <w:t>1.3 Brief Technology Overview</w:t>
      </w:r>
    </w:p>
    <w:p>
      <w:pPr>
        <w:spacing w:before="0" w:after="120" w:line="276" w:lineRule="auto"/>
        <w:jc w:val="left"/>
      </w:pPr>
      <w:r>
        <w:rPr>
          <w:rFonts w:ascii="Times New Roman" w:hAnsi="Times New Roman"/>
          <w:b w:val="0"/>
          <w:i w:val="0"/>
          <w:sz w:val="24"/>
        </w:rPr>
        <w:t>The system studied in this report is an Air-Gapped Multi-Agent Document Intelligence and True Redaction Engine. Rather than routing entire documents into single large prompts—which causes token bloat, hallucinations, and privacy leaks—the architecture delegates work across four specialized deterministic and LLM-powered agents orchestrated via an asynchronous Directed Acyclic Graph (DAG) using FastAPI and Server-Sent Events (SSE):</w:t>
      </w:r>
    </w:p>
    <w:p>
      <w:pPr>
        <w:spacing w:before="0" w:after="120" w:line="276" w:lineRule="auto"/>
        <w:jc w:val="left"/>
      </w:pPr>
      <w:r>
        <w:rPr>
          <w:rFonts w:ascii="Times New Roman" w:hAnsi="Times New Roman"/>
          <w:b w:val="0"/>
          <w:i w:val="0"/>
          <w:sz w:val="24"/>
        </w:rPr>
        <w:t>• Agent 1 (Layout &amp; Vision Agent): High-speed PyMuPDF spatial tokenizer and reading order detector.</w:t>
      </w:r>
    </w:p>
    <w:p>
      <w:pPr>
        <w:spacing w:before="0" w:after="120" w:line="276" w:lineRule="auto"/>
        <w:jc w:val="left"/>
      </w:pPr>
      <w:r>
        <w:rPr>
          <w:rFonts w:ascii="Times New Roman" w:hAnsi="Times New Roman"/>
          <w:b w:val="0"/>
          <w:i w:val="0"/>
          <w:sz w:val="24"/>
        </w:rPr>
        <w:t>• Agent 2 (Schema Structuring Agent): Type-safe Pydantic JSON parser powered by local open-weights LLMs.</w:t>
      </w:r>
    </w:p>
    <w:p>
      <w:pPr>
        <w:spacing w:before="0" w:after="120" w:line="276" w:lineRule="auto"/>
        <w:jc w:val="left"/>
      </w:pPr>
      <w:r>
        <w:rPr>
          <w:rFonts w:ascii="Times New Roman" w:hAnsi="Times New Roman"/>
          <w:b w:val="0"/>
          <w:i w:val="0"/>
          <w:sz w:val="24"/>
        </w:rPr>
        <w:t>• Agent 3 (Compliance &amp; Risk Agent): Policy benchmark evaluator generating suggested contractual redlines.</w:t>
      </w:r>
    </w:p>
    <w:p>
      <w:pPr>
        <w:spacing w:before="0" w:after="120" w:line="276" w:lineRule="auto"/>
        <w:jc w:val="left"/>
      </w:pPr>
      <w:r>
        <w:rPr>
          <w:rFonts w:ascii="Times New Roman" w:hAnsi="Times New Roman"/>
          <w:b w:val="0"/>
          <w:i w:val="0"/>
          <w:sz w:val="24"/>
        </w:rPr>
        <w:t>• Agent 4 (Privacy &amp; Redaction Agent): Microsoft Presidio NER analyzer with true hardware pixel burn-in.</w:t>
      </w:r>
    </w:p>
    <w:p>
      <w:pPr>
        <w:keepNext/>
        <w:spacing w:before="280" w:after="120"/>
      </w:pPr>
      <w:r>
        <w:rPr>
          <w:rFonts w:ascii="Times New Roman" w:hAnsi="Times New Roman"/>
          <w:b/>
          <w:color w:val="0F172A"/>
          <w:sz w:val="30"/>
        </w:rPr>
        <w:t>2. PROBLEM STATEMENT</w:t>
      </w:r>
    </w:p>
    <w:p>
      <w:pPr>
        <w:keepNext/>
        <w:spacing w:before="200" w:after="80"/>
      </w:pPr>
      <w:r>
        <w:rPr>
          <w:rFonts w:ascii="Times New Roman" w:hAnsi="Times New Roman"/>
          <w:b/>
          <w:color w:val="1E293B"/>
          <w:sz w:val="26"/>
        </w:rPr>
        <w:t>2.1 The 'Fake Redaction' Vulnerability in Commercial PDF Viewers</w:t>
      </w:r>
    </w:p>
    <w:p>
      <w:pPr>
        <w:spacing w:before="0" w:after="120" w:line="276" w:lineRule="auto"/>
        <w:jc w:val="left"/>
      </w:pPr>
      <w:r>
        <w:rPr>
          <w:rFonts w:ascii="Times New Roman" w:hAnsi="Times New Roman"/>
          <w:b w:val="0"/>
          <w:i w:val="0"/>
          <w:sz w:val="24"/>
        </w:rPr>
        <w:t>A widespread vulnerability across commercial desktop PDF software (including standard editions of Adobe Acrobat, macOS Preview, and web-based PDF viewers) is the phenomenon of cosmetic or 'fake' redaction. When a user applies a redaction box in standard tools, the software frequently draws a black vector rectangle (SVG layer) over the text stream.</w:t>
      </w:r>
    </w:p>
    <w:p>
      <w:pPr>
        <w:spacing w:before="0" w:after="120" w:line="276" w:lineRule="auto"/>
        <w:jc w:val="left"/>
      </w:pPr>
      <w:r>
        <w:rPr>
          <w:rFonts w:ascii="Times New Roman" w:hAnsi="Times New Roman"/>
          <w:b w:val="0"/>
          <w:i w:val="0"/>
          <w:sz w:val="24"/>
        </w:rPr>
        <w:t>The underlying character glyphs, positional matrices, font metrics, and optical bounding boxes remain fully intact in the underlying document vector stream. Any unauthorized actor or adversarial script can execute a simple 'Ctrl+A → Ctrl+C' copy-paste sequence, run a headless command ('strings file.pdf' or 'pdfminer'), and recover the hidden SSN, medical diagnosis, or client identity instantly.</w:t>
      </w:r>
    </w:p>
    <w:p>
      <w:pPr>
        <w:keepNext/>
        <w:spacing w:before="200" w:after="80"/>
      </w:pPr>
      <w:r>
        <w:rPr>
          <w:rFonts w:ascii="Times New Roman" w:hAnsi="Times New Roman"/>
          <w:b/>
          <w:color w:val="1E293B"/>
          <w:sz w:val="26"/>
        </w:rPr>
        <w:t>2.2 Cloud LLM Data Ingress &amp; Regulatory Breach</w:t>
      </w:r>
    </w:p>
    <w:p>
      <w:pPr>
        <w:spacing w:before="0" w:after="120" w:line="276" w:lineRule="auto"/>
        <w:jc w:val="left"/>
      </w:pPr>
      <w:r>
        <w:rPr>
          <w:rFonts w:ascii="Times New Roman" w:hAnsi="Times New Roman"/>
          <w:b w:val="0"/>
          <w:i w:val="0"/>
          <w:sz w:val="24"/>
        </w:rPr>
        <w:t>To automate compliance review, enterprises frequently forward raw PDF text to cloud-hosted API models (e.g., OpenAI GPT-4, Anthropic Claude). This creates an immediate data residency breach: confidential medical records, corporate trade secrets, and student roll numbers are ingested into third-party infrastructure and retained in multi-tenant logging buffers, violating air-gapped mandates.</w:t>
      </w:r>
    </w:p>
    <w:p>
      <w:pPr>
        <w:keepNext/>
        <w:spacing w:before="200" w:after="80"/>
      </w:pPr>
      <w:r>
        <w:rPr>
          <w:rFonts w:ascii="Times New Roman" w:hAnsi="Times New Roman"/>
          <w:b/>
          <w:color w:val="1E293B"/>
          <w:sz w:val="26"/>
        </w:rPr>
        <w:t>2.3 Monolithic Context Windows &amp; Tabular Hallucination</w:t>
      </w:r>
    </w:p>
    <w:p>
      <w:pPr>
        <w:spacing w:before="0" w:after="120" w:line="276" w:lineRule="auto"/>
        <w:jc w:val="left"/>
      </w:pPr>
      <w:r>
        <w:rPr>
          <w:rFonts w:ascii="Times New Roman" w:hAnsi="Times New Roman"/>
          <w:b w:val="0"/>
          <w:i w:val="0"/>
          <w:sz w:val="24"/>
        </w:rPr>
        <w:t>Attempting to feed an entire 20-page document into a single large prompt causes severe context dilution and token bloat. Multi-column tables, headers, and hierarchical key-value pairs become distorted. General LLMs frequently hallucinate numerical figures and fail completely to output exact spatial bounding boxes [x0, y0, x1, y1] necessary for physical redaction.</w:t>
      </w:r>
    </w:p>
    <w:p>
      <w:pPr>
        <w:keepNext/>
        <w:spacing w:before="280" w:after="120"/>
      </w:pPr>
      <w:r>
        <w:rPr>
          <w:rFonts w:ascii="Times New Roman" w:hAnsi="Times New Roman"/>
          <w:b/>
          <w:color w:val="0F172A"/>
          <w:sz w:val="30"/>
        </w:rPr>
        <w:t>3. OBJECTIVES</w:t>
      </w:r>
    </w:p>
    <w:p>
      <w:pPr>
        <w:spacing w:before="0" w:after="120" w:line="276" w:lineRule="auto"/>
        <w:jc w:val="left"/>
      </w:pPr>
      <w:r>
        <w:rPr>
          <w:rFonts w:ascii="Times New Roman" w:hAnsi="Times New Roman"/>
          <w:b w:val="0"/>
          <w:i w:val="0"/>
          <w:sz w:val="24"/>
        </w:rPr>
        <w:t>The technical and investigatory objectives of this case study are:</w:t>
      </w:r>
    </w:p>
    <w:p>
      <w:pPr>
        <w:spacing w:before="0" w:after="120" w:line="276" w:lineRule="auto"/>
        <w:jc w:val="left"/>
      </w:pPr>
      <w:r>
        <w:rPr>
          <w:rFonts w:ascii="Times New Roman" w:hAnsi="Times New Roman"/>
          <w:b w:val="0"/>
          <w:i w:val="0"/>
          <w:sz w:val="24"/>
        </w:rPr>
        <w:t>1. Architectural Understanding: To analyze the design and orchestration of an asynchronous multi-agent Directed Acyclic Graph (DAG) for air-gapped document intelligence.</w:t>
      </w:r>
    </w:p>
    <w:p>
      <w:pPr>
        <w:spacing w:before="0" w:after="120" w:line="276" w:lineRule="auto"/>
        <w:jc w:val="left"/>
      </w:pPr>
      <w:r>
        <w:rPr>
          <w:rFonts w:ascii="Times New Roman" w:hAnsi="Times New Roman"/>
          <w:b w:val="0"/>
          <w:i w:val="0"/>
          <w:sz w:val="24"/>
        </w:rPr>
        <w:t>2. True Redaction Engineering: To examine the physical rasterization and vector-stream elimination mechanics of PyMuPDF (fitz.PDF_REDACT_IMAGE_PIXELS) that guarantee irreversible character destruction.</w:t>
      </w:r>
    </w:p>
    <w:p>
      <w:pPr>
        <w:spacing w:before="0" w:after="120" w:line="276" w:lineRule="auto"/>
        <w:jc w:val="left"/>
      </w:pPr>
      <w:r>
        <w:rPr>
          <w:rFonts w:ascii="Times New Roman" w:hAnsi="Times New Roman"/>
          <w:b w:val="0"/>
          <w:i w:val="0"/>
          <w:sz w:val="24"/>
        </w:rPr>
        <w:t>3. Dynamic Form Label Preservation: To study how rule-based syntactic parsing and dynamic stop-word dictionaries eliminate false-positive blackouts on form headers (Designation, Max. Marks, Course Code).</w:t>
      </w:r>
    </w:p>
    <w:p>
      <w:pPr>
        <w:spacing w:before="0" w:after="120" w:line="276" w:lineRule="auto"/>
        <w:jc w:val="left"/>
      </w:pPr>
      <w:r>
        <w:rPr>
          <w:rFonts w:ascii="Times New Roman" w:hAnsi="Times New Roman"/>
          <w:b w:val="0"/>
          <w:i w:val="0"/>
          <w:sz w:val="24"/>
        </w:rPr>
        <w:t>4. Mathematical Privacy Evaluation: To investigate the injection of differential privacy Laplace noise (ε = 0.5) and k-anonymity clustering (k=5) for statistical aggregation defense.</w:t>
      </w:r>
    </w:p>
    <w:p>
      <w:pPr>
        <w:spacing w:before="0" w:after="120" w:line="276" w:lineRule="auto"/>
        <w:jc w:val="left"/>
      </w:pPr>
      <w:r>
        <w:rPr>
          <w:rFonts w:ascii="Times New Roman" w:hAnsi="Times New Roman"/>
          <w:b w:val="0"/>
          <w:i w:val="0"/>
          <w:sz w:val="24"/>
        </w:rPr>
        <w:t>5. Empirical Benchmarking: To measure end-to-end processing throughput, zero-leakage vector verification, and compute resource utilization on local hardware.</w:t>
      </w:r>
    </w:p>
    <w:p>
      <w:pPr>
        <w:keepNext/>
        <w:spacing w:before="280" w:after="120"/>
      </w:pPr>
      <w:r>
        <w:rPr>
          <w:rFonts w:ascii="Times New Roman" w:hAnsi="Times New Roman"/>
          <w:b/>
          <w:color w:val="0F172A"/>
          <w:sz w:val="30"/>
        </w:rPr>
        <w:t>4. TECHNOLOGY OVERVIEW</w:t>
      </w:r>
    </w:p>
    <w:p>
      <w:pPr>
        <w:keepNext/>
        <w:spacing w:before="200" w:after="80"/>
      </w:pPr>
      <w:r>
        <w:rPr>
          <w:rFonts w:ascii="Times New Roman" w:hAnsi="Times New Roman"/>
          <w:b/>
          <w:color w:val="1E293B"/>
          <w:sz w:val="26"/>
        </w:rPr>
        <w:t>4.1 Core Concepts &amp; Theoretical Foundations</w:t>
      </w:r>
    </w:p>
    <w:p>
      <w:pPr>
        <w:spacing w:before="0" w:after="120" w:line="276" w:lineRule="auto"/>
        <w:jc w:val="left"/>
      </w:pPr>
      <w:r>
        <w:rPr>
          <w:rFonts w:ascii="Times New Roman" w:hAnsi="Times New Roman"/>
          <w:b w:val="0"/>
          <w:i w:val="0"/>
          <w:sz w:val="24"/>
        </w:rPr>
        <w:t>• Spatial Tokenization: Translating continuous PDF page coordinates into discrete bounding boxes [x0, y0, x1, y1], mapping spatial relationships and natural reading orders.</w:t>
      </w:r>
    </w:p>
    <w:p>
      <w:pPr>
        <w:spacing w:before="0" w:after="120" w:line="276" w:lineRule="auto"/>
        <w:jc w:val="left"/>
      </w:pPr>
      <w:r>
        <w:rPr>
          <w:rFonts w:ascii="Times New Roman" w:hAnsi="Times New Roman"/>
          <w:b w:val="0"/>
          <w:i w:val="0"/>
          <w:sz w:val="24"/>
        </w:rPr>
        <w:t>• Hybrid Named Entity Recognition (NER): Combining rule-based regular expressions (regex), linguistic pattern dictionaries, and statistical Spacy transformer tokenizers.</w:t>
      </w:r>
    </w:p>
    <w:p>
      <w:pPr>
        <w:spacing w:before="0" w:after="120" w:line="276" w:lineRule="auto"/>
        <w:jc w:val="left"/>
      </w:pPr>
      <w:r>
        <w:rPr>
          <w:rFonts w:ascii="Times New Roman" w:hAnsi="Times New Roman"/>
          <w:b w:val="0"/>
          <w:i w:val="0"/>
          <w:sz w:val="24"/>
        </w:rPr>
        <w:t>• True Hardware Pixel Burn-In: Low-level PDF canvas rasterization that burns pure black pixel values directly into the underlying bitmap and physically strips text dictionary entries from the cross-reference (xref) table.</w:t>
      </w:r>
    </w:p>
    <w:p>
      <w:pPr>
        <w:keepNext/>
        <w:spacing w:before="200" w:after="80"/>
      </w:pPr>
      <w:r>
        <w:rPr>
          <w:rFonts w:ascii="Times New Roman" w:hAnsi="Times New Roman"/>
          <w:b/>
          <w:color w:val="1E293B"/>
          <w:sz w:val="26"/>
        </w:rPr>
        <w:t>4.2 Multi-Agent Directed Acyclic Graph (DAG) Topology</w:t>
      </w:r>
    </w:p>
    <w:p>
      <w:pPr>
        <w:spacing w:before="0" w:after="120" w:line="276" w:lineRule="auto"/>
        <w:jc w:val="left"/>
      </w:pPr>
      <w:r>
        <w:rPr>
          <w:rFonts w:ascii="Times New Roman" w:hAnsi="Times New Roman"/>
          <w:b w:val="0"/>
          <w:i w:val="0"/>
          <w:sz w:val="24"/>
        </w:rPr>
        <w:t>Rather than executing as a monolithic sequential script, the engine routes ingested files through four autonomous nodes with clear interface boundaries:</w:t>
      </w:r>
    </w:p>
    <w:p>
      <w:pPr>
        <w:spacing w:before="0" w:after="120" w:line="276" w:lineRule="auto"/>
        <w:jc w:val="left"/>
      </w:pPr>
      <w:r>
        <w:rPr>
          <w:rFonts w:ascii="Times New Roman" w:hAnsi="Times New Roman"/>
          <w:b w:val="0"/>
          <w:i w:val="0"/>
          <w:sz w:val="24"/>
        </w:rPr>
        <w:t>1. Vision Node: Scans page rect dimensions, rasterizes high-res pixmaps (150 DPI) for split canvas viewing, and outputs token coordinates in under 200 milliseconds.</w:t>
      </w:r>
    </w:p>
    <w:p>
      <w:pPr>
        <w:spacing w:before="0" w:after="120" w:line="276" w:lineRule="auto"/>
        <w:jc w:val="left"/>
      </w:pPr>
      <w:r>
        <w:rPr>
          <w:rFonts w:ascii="Times New Roman" w:hAnsi="Times New Roman"/>
          <w:b w:val="0"/>
          <w:i w:val="0"/>
          <w:sz w:val="24"/>
        </w:rPr>
        <w:t>2. Privacy Node: Detects direct and quasi-identifiers using Microsoft Presidio and applies irreversible burn-in.</w:t>
      </w:r>
    </w:p>
    <w:p>
      <w:pPr>
        <w:spacing w:before="0" w:after="120" w:line="276" w:lineRule="auto"/>
        <w:jc w:val="left"/>
      </w:pPr>
      <w:r>
        <w:rPr>
          <w:rFonts w:ascii="Times New Roman" w:hAnsi="Times New Roman"/>
          <w:b w:val="0"/>
          <w:i w:val="0"/>
          <w:sz w:val="24"/>
        </w:rPr>
        <w:t>3. Schema Node: Synthesizes strictly typed Pydantic models for structured database aggregation.</w:t>
      </w:r>
    </w:p>
    <w:p>
      <w:pPr>
        <w:spacing w:before="0" w:after="120" w:line="276" w:lineRule="auto"/>
        <w:jc w:val="left"/>
      </w:pPr>
      <w:r>
        <w:rPr>
          <w:rFonts w:ascii="Times New Roman" w:hAnsi="Times New Roman"/>
          <w:b w:val="0"/>
          <w:i w:val="0"/>
          <w:sz w:val="24"/>
        </w:rPr>
        <w:t>4. Risk Node: Compares document clauses against enterprise benchmark baselines and generates actionable suggested revisions.</w:t>
      </w:r>
    </w:p>
    <w:p>
      <w:pPr>
        <w:keepNext/>
        <w:spacing w:before="200" w:after="80"/>
      </w:pPr>
      <w:r>
        <w:rPr>
          <w:rFonts w:ascii="Times New Roman" w:hAnsi="Times New Roman"/>
          <w:b/>
          <w:color w:val="1E293B"/>
          <w:sz w:val="26"/>
        </w:rPr>
        <w:t>4.3 Mathematical Models &amp; Differential Privacy Formulations</w:t>
      </w:r>
    </w:p>
    <w:p>
      <w:pPr>
        <w:spacing w:before="0" w:after="120" w:line="276" w:lineRule="auto"/>
        <w:jc w:val="left"/>
      </w:pPr>
      <w:r>
        <w:rPr>
          <w:rFonts w:ascii="Times New Roman" w:hAnsi="Times New Roman"/>
          <w:b w:val="0"/>
          <w:i w:val="0"/>
          <w:sz w:val="24"/>
        </w:rPr>
        <w:t>To protect numerical aggregates (such as hospital charges or student exam marks) against database reconstruction and linkage attacks, the privacy module implements the Laplace Mechanism:</w:t>
      </w:r>
    </w:p>
    <w:p>
      <w:pPr>
        <w:spacing w:before="0" w:after="120" w:line="276" w:lineRule="auto"/>
        <w:jc w:val="center"/>
      </w:pPr>
      <w:r>
        <w:rPr>
          <w:rFonts w:ascii="Times New Roman" w:hAnsi="Times New Roman"/>
          <w:b w:val="0"/>
          <w:i/>
          <w:sz w:val="24"/>
        </w:rPr>
        <w:t>M(x) = f(x) + Laplace(0, Δf / ε)</w:t>
      </w:r>
    </w:p>
    <w:p>
      <w:pPr>
        <w:spacing w:before="0" w:after="120" w:line="276" w:lineRule="auto"/>
        <w:jc w:val="left"/>
      </w:pPr>
      <w:r>
        <w:rPr>
          <w:rFonts w:ascii="Times New Roman" w:hAnsi="Times New Roman"/>
          <w:b w:val="0"/>
          <w:i w:val="0"/>
          <w:sz w:val="24"/>
        </w:rPr>
        <w:t>Where f(x) is the deterministic query aggregate, Δf is the global sensitivity of the function, and ε is the privacy budget parameter (set strictly at ε = 0.5). Noise is drawn from probability density function p(z) = (1 / 2b) * exp(-|z| / b) with scale parameter b = Δf / ε.</w:t>
      </w:r>
    </w:p>
    <w:p>
      <w:pPr>
        <w:keepNext/>
        <w:spacing w:before="280" w:after="120"/>
      </w:pPr>
      <w:r>
        <w:rPr>
          <w:rFonts w:ascii="Times New Roman" w:hAnsi="Times New Roman"/>
          <w:b/>
          <w:color w:val="0F172A"/>
          <w:sz w:val="30"/>
        </w:rPr>
        <w:t>5. METHODOLOGY / WORKING PROCESS</w:t>
      </w:r>
    </w:p>
    <w:p>
      <w:pPr>
        <w:keepNext/>
        <w:spacing w:before="200" w:after="80"/>
      </w:pPr>
      <w:r>
        <w:rPr>
          <w:rFonts w:ascii="Times New Roman" w:hAnsi="Times New Roman"/>
          <w:b/>
          <w:color w:val="1E293B"/>
          <w:sz w:val="26"/>
        </w:rPr>
        <w:t>5.1 Step-by-Step Document Lifecycle Pipeline</w:t>
      </w:r>
    </w:p>
    <w:p>
      <w:pPr>
        <w:spacing w:before="0" w:after="120" w:line="276" w:lineRule="auto"/>
        <w:jc w:val="left"/>
      </w:pPr>
      <w:r>
        <w:rPr>
          <w:rFonts w:ascii="Times New Roman" w:hAnsi="Times New Roman"/>
          <w:b w:val="0"/>
          <w:i w:val="0"/>
          <w:sz w:val="24"/>
        </w:rPr>
        <w:t>Phase 1: Ingestion &amp; Spatial Coordinate Mapping (Agent 1)</w:t>
      </w:r>
    </w:p>
    <w:p>
      <w:pPr>
        <w:spacing w:before="0" w:after="120" w:line="276" w:lineRule="auto"/>
        <w:jc w:val="left"/>
      </w:pPr>
      <w:r>
        <w:rPr>
          <w:rFonts w:ascii="Times New Roman" w:hAnsi="Times New Roman"/>
          <w:b w:val="0"/>
          <w:i w:val="0"/>
          <w:sz w:val="24"/>
        </w:rPr>
        <w:t>The document is loaded directly into RAM. PyMuPDF extracts word-level coordinates and classifies the file into an operational category: medical_billing, nda_contract, academic_assignment, or general_document.</w:t>
      </w:r>
    </w:p>
    <w:p>
      <w:pPr>
        <w:spacing w:before="0" w:after="120" w:line="276" w:lineRule="auto"/>
        <w:jc w:val="left"/>
      </w:pPr>
      <w:r>
        <w:rPr>
          <w:rFonts w:ascii="Times New Roman" w:hAnsi="Times New Roman"/>
          <w:b w:val="0"/>
          <w:i w:val="0"/>
          <w:sz w:val="24"/>
        </w:rPr>
        <w:t>Phase 2: Parallel NER Scanning &amp; Schema Structuring (Agents 4 &amp; 2)</w:t>
      </w:r>
    </w:p>
    <w:p>
      <w:pPr>
        <w:spacing w:before="0" w:after="120" w:line="276" w:lineRule="auto"/>
        <w:jc w:val="left"/>
      </w:pPr>
      <w:r>
        <w:rPr>
          <w:rFonts w:ascii="Times New Roman" w:hAnsi="Times New Roman"/>
          <w:b w:val="0"/>
          <w:i w:val="0"/>
          <w:sz w:val="24"/>
        </w:rPr>
        <w:t>Agent 4 performs dynamic whitelist isolation: any token preceding a colon (':') is automatically protected from blackout. Presidio NER scans for personal names, SSNs, policy IDs, and university roll numbers. Subsumption filtering consolidates partial tokens into full names. Simultaneously, Agent 2 extracts structured attributes using local open-weights LLMs with automatic deterministic regex fallback.</w:t>
      </w:r>
    </w:p>
    <w:p>
      <w:pPr>
        <w:spacing w:before="0" w:after="120" w:line="276" w:lineRule="auto"/>
        <w:jc w:val="left"/>
      </w:pPr>
      <w:r>
        <w:rPr>
          <w:rFonts w:ascii="Times New Roman" w:hAnsi="Times New Roman"/>
          <w:b w:val="0"/>
          <w:i w:val="0"/>
          <w:sz w:val="24"/>
        </w:rPr>
        <w:t>Phase 3: Hardware Pixel Burn-In &amp; Vector Expungement</w:t>
      </w:r>
    </w:p>
    <w:p>
      <w:pPr>
        <w:spacing w:before="0" w:after="120" w:line="276" w:lineRule="auto"/>
        <w:jc w:val="left"/>
      </w:pPr>
      <w:r>
        <w:rPr>
          <w:rFonts w:ascii="Times New Roman" w:hAnsi="Times New Roman"/>
          <w:b w:val="0"/>
          <w:i w:val="0"/>
          <w:sz w:val="24"/>
        </w:rPr>
        <w:t>Redaction annotations are registered at exact coordinates. PyMuPDF's low-level raster engine executes fitz.PDF_REDACT_IMAGE_PIXELS, replacing vector glyphs with pure black raster pixels and deflating the binary stream.</w:t>
      </w:r>
    </w:p>
    <w:p>
      <w:pPr>
        <w:spacing w:before="0" w:after="120" w:line="276" w:lineRule="auto"/>
        <w:jc w:val="left"/>
      </w:pPr>
      <w:r>
        <w:rPr>
          <w:rFonts w:ascii="Times New Roman" w:hAnsi="Times New Roman"/>
          <w:b w:val="0"/>
          <w:i w:val="0"/>
          <w:sz w:val="24"/>
        </w:rPr>
        <w:t>Phase 4: Policy Benchmark Risk Evaluation (Agent 3)</w:t>
      </w:r>
    </w:p>
    <w:p>
      <w:pPr>
        <w:spacing w:before="0" w:after="120" w:line="276" w:lineRule="auto"/>
        <w:jc w:val="left"/>
      </w:pPr>
      <w:r>
        <w:rPr>
          <w:rFonts w:ascii="Times New Roman" w:hAnsi="Times New Roman"/>
          <w:b w:val="0"/>
          <w:i w:val="0"/>
          <w:sz w:val="24"/>
        </w:rPr>
        <w:t>Extracted text clauses are evaluated against corporate benchmarks. Contract deviations (such as unilateral unlimited indemnification, 10-year terms, or overseas arbitration) and educational FERPA violations are flagged with severity ratings and suggested redline amendments.</w:t>
      </w:r>
    </w:p>
    <w:p>
      <w:pPr>
        <w:spacing w:before="0" w:after="120" w:line="276" w:lineRule="auto"/>
        <w:jc w:val="left"/>
      </w:pPr>
      <w:r>
        <w:rPr>
          <w:rFonts w:ascii="Times New Roman" w:hAnsi="Times New Roman"/>
          <w:b w:val="0"/>
          <w:i w:val="0"/>
          <w:sz w:val="24"/>
        </w:rPr>
        <w:t>Phase 5: Cryptographic Ledger &amp; Audit Export</w:t>
      </w:r>
    </w:p>
    <w:p>
      <w:pPr>
        <w:spacing w:before="0" w:after="120" w:line="276" w:lineRule="auto"/>
        <w:jc w:val="left"/>
      </w:pPr>
      <w:r>
        <w:rPr>
          <w:rFonts w:ascii="Times New Roman" w:hAnsi="Times New Roman"/>
          <w:b w:val="0"/>
          <w:i w:val="0"/>
          <w:sz w:val="24"/>
        </w:rPr>
        <w:t>A cryptographic SHA-256 digest is generated across all document metadata, detected entities, risk cards, and schema outputs, compiling a signed audit JSON report.</w:t>
      </w:r>
    </w:p>
    <w:p>
      <w:pPr>
        <w:keepNext/>
        <w:spacing w:before="280" w:after="120"/>
      </w:pPr>
      <w:r>
        <w:rPr>
          <w:rFonts w:ascii="Times New Roman" w:hAnsi="Times New Roman"/>
          <w:b/>
          <w:color w:val="0F172A"/>
          <w:sz w:val="30"/>
        </w:rPr>
        <w:t>6. REAL-WORLD CASE STUDY: HEALTHCARE BILLING &amp; PATIENT RECORD REDACTION</w:t>
      </w:r>
    </w:p>
    <w:p>
      <w:pPr>
        <w:keepNext/>
        <w:spacing w:before="200" w:after="80"/>
      </w:pPr>
      <w:r>
        <w:rPr>
          <w:rFonts w:ascii="Times New Roman" w:hAnsi="Times New Roman"/>
          <w:b/>
          <w:color w:val="1E293B"/>
          <w:sz w:val="26"/>
        </w:rPr>
        <w:t>6.1 Organization Profile: Apex Memorial Hospital</w:t>
      </w:r>
    </w:p>
    <w:p>
      <w:pPr>
        <w:spacing w:before="0" w:after="120" w:line="276" w:lineRule="auto"/>
        <w:jc w:val="left"/>
      </w:pPr>
      <w:r>
        <w:rPr>
          <w:rFonts w:ascii="Times New Roman" w:hAnsi="Times New Roman"/>
          <w:b w:val="0"/>
          <w:i w:val="0"/>
          <w:sz w:val="24"/>
        </w:rPr>
        <w:t>Apex Memorial Hospital &amp; Imaging Center (Portland, OR) processes over 15,000 patient intake statements, diagnostic billing sheets, and MRI referral records per month across its regional outpatient clinics.</w:t>
      </w:r>
    </w:p>
    <w:p>
      <w:pPr>
        <w:keepNext/>
        <w:spacing w:before="200" w:after="80"/>
      </w:pPr>
      <w:r>
        <w:rPr>
          <w:rFonts w:ascii="Times New Roman" w:hAnsi="Times New Roman"/>
          <w:b/>
          <w:color w:val="1E293B"/>
          <w:sz w:val="26"/>
        </w:rPr>
        <w:t>6.2 The Compliance &amp; Workflow Crisis</w:t>
      </w:r>
    </w:p>
    <w:p>
      <w:pPr>
        <w:spacing w:before="0" w:after="120" w:line="276" w:lineRule="auto"/>
        <w:jc w:val="left"/>
      </w:pPr>
      <w:r>
        <w:rPr>
          <w:rFonts w:ascii="Times New Roman" w:hAnsi="Times New Roman"/>
          <w:b w:val="0"/>
          <w:i w:val="0"/>
          <w:sz w:val="24"/>
        </w:rPr>
        <w:t>Healthcare billing personnel frequently used commercial desktop PDF tools to manually redact patient names, Social Security Numbers, and addresses prior to forwarding billing audits to secondary insurance adjusters. An external audit revealed that secondary reviewers could highlight and copy 'redacted' patient SSNs and policy IDs directly from exported PDFs because the commercial tools had only applied cosmetic black overlays.</w:t>
      </w:r>
    </w:p>
    <w:p>
      <w:pPr>
        <w:spacing w:before="0" w:after="120" w:line="276" w:lineRule="auto"/>
        <w:jc w:val="left"/>
      </w:pPr>
      <w:r>
        <w:rPr>
          <w:rFonts w:ascii="Times New Roman" w:hAnsi="Times New Roman"/>
          <w:b w:val="0"/>
          <w:i w:val="0"/>
          <w:sz w:val="24"/>
        </w:rPr>
        <w:t>The hospital faced acute exposure to HIPAA Privacy Rule penalties (45 CFR § 164.514), where willful neglect breaches incur mandatory penalties exceeding $50,000 per violation. Hospital legal policy strictly prohibited piping medical billing files to public cloud AI APIs due to air-gapped data residency mandates.</w:t>
      </w:r>
    </w:p>
    <w:p>
      <w:pPr>
        <w:keepNext/>
        <w:spacing w:before="200" w:after="80"/>
      </w:pPr>
      <w:r>
        <w:rPr>
          <w:rFonts w:ascii="Times New Roman" w:hAnsi="Times New Roman"/>
          <w:b/>
          <w:color w:val="1E293B"/>
          <w:sz w:val="26"/>
        </w:rPr>
        <w:t>6.3 Multi-Agent Solution Implementation</w:t>
      </w:r>
    </w:p>
    <w:p>
      <w:pPr>
        <w:spacing w:before="0" w:after="120" w:line="276" w:lineRule="auto"/>
        <w:jc w:val="left"/>
      </w:pPr>
      <w:r>
        <w:rPr>
          <w:rFonts w:ascii="Times New Roman" w:hAnsi="Times New Roman"/>
          <w:b w:val="0"/>
          <w:i w:val="0"/>
          <w:sz w:val="24"/>
        </w:rPr>
        <w:t>Apex Memorial deployed the Air-Gapped Multi-Agent Document Intelligence Engine on local on-premise workstations. Agent 1 mapped all 240 spatial tokens and charge tables across intake sheets in 180ms. Agent 4 detected patient name 'John Doe', SSN '***-**-6789', and policy ID 'MED-99482', burning physical black pixels into the PDF vector stream. Agent 2 structured itemized CPT codes (99214, 72148, 70553, 00670) and the gross charge of $14,250.00 into type-safe Pydantic JSON. Agent 3 verified compliance with the No Surprises Act (NSA).</w:t>
      </w:r>
    </w:p>
    <w:p>
      <w:pPr>
        <w:keepNext/>
        <w:spacing w:before="200" w:after="80"/>
      </w:pPr>
      <w:r>
        <w:rPr>
          <w:rFonts w:ascii="Times New Roman" w:hAnsi="Times New Roman"/>
          <w:b/>
          <w:color w:val="1E293B"/>
          <w:sz w:val="26"/>
        </w:rPr>
        <w:t>6.4 Measured Empirical Outcomes</w:t>
      </w:r>
    </w:p>
    <w:p>
      <w:pPr>
        <w:spacing w:before="0" w:after="120" w:line="276" w:lineRule="auto"/>
        <w:jc w:val="left"/>
      </w:pPr>
      <w:r>
        <w:rPr>
          <w:rFonts w:ascii="Times New Roman" w:hAnsi="Times New Roman"/>
          <w:b w:val="0"/>
          <w:i w:val="0"/>
          <w:sz w:val="24"/>
        </w:rPr>
        <w:t>• 100% Vector Stream Clearance: Post-processing vector analysis confirmed 0 bytes of residual patient identifiers remained in the exported files.</w:t>
      </w:r>
    </w:p>
    <w:p>
      <w:pPr>
        <w:spacing w:before="0" w:after="120" w:line="276" w:lineRule="auto"/>
        <w:jc w:val="left"/>
      </w:pPr>
      <w:r>
        <w:rPr>
          <w:rFonts w:ascii="Times New Roman" w:hAnsi="Times New Roman"/>
          <w:b w:val="0"/>
          <w:i w:val="0"/>
          <w:sz w:val="24"/>
        </w:rPr>
        <w:t>• Processing Speed: Total processing time dropped from 8 minutes per document (manual inspection) to 3.7 seconds per document.</w:t>
      </w:r>
    </w:p>
    <w:p>
      <w:pPr>
        <w:spacing w:before="0" w:after="120" w:line="276" w:lineRule="auto"/>
        <w:jc w:val="left"/>
      </w:pPr>
      <w:r>
        <w:rPr>
          <w:rFonts w:ascii="Times New Roman" w:hAnsi="Times New Roman"/>
          <w:b w:val="0"/>
          <w:i w:val="0"/>
          <w:sz w:val="24"/>
        </w:rPr>
        <w:t>• Zero Cloud Costs: Completely eliminated third-party cloud API token subscriptions.</w:t>
      </w:r>
    </w:p>
    <w:p>
      <w:pPr>
        <w:spacing w:before="0" w:after="120" w:line="276" w:lineRule="auto"/>
        <w:jc w:val="left"/>
      </w:pPr>
      <w:r>
        <w:rPr>
          <w:rFonts w:ascii="Times New Roman" w:hAnsi="Times New Roman"/>
          <w:b w:val="0"/>
          <w:i w:val="0"/>
          <w:sz w:val="24"/>
        </w:rPr>
        <w:t>• Audit Readiness: Every processed statement generated an immutable SHA-256 audit log, achieving 100% compliance during subsequent health authority reviews.</w:t>
      </w:r>
    </w:p>
    <w:p>
      <w:pPr>
        <w:keepNext/>
        <w:spacing w:before="280" w:after="120"/>
      </w:pPr>
      <w:r>
        <w:rPr>
          <w:rFonts w:ascii="Times New Roman" w:hAnsi="Times New Roman"/>
          <w:b/>
          <w:color w:val="0F172A"/>
          <w:sz w:val="30"/>
        </w:rPr>
        <w:t>7. TOOLS AND TECHNOLOGIES USED</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rPr>
              <w:t>Category</w:t>
            </w:r>
          </w:p>
        </w:tc>
        <w:tc>
          <w:tcPr>
            <w:tcW w:type="dxa" w:w="3120"/>
            <w:shd w:fill="E2E8F0"/>
          </w:tcPr>
          <w:p>
            <w:r>
              <w:rPr>
                <w:b/>
              </w:rPr>
              <w:t>Technology / Tool</w:t>
            </w:r>
          </w:p>
        </w:tc>
        <w:tc>
          <w:tcPr>
            <w:tcW w:type="dxa" w:w="3120"/>
            <w:shd w:fill="E2E8F0"/>
          </w:tcPr>
          <w:p>
            <w:r>
              <w:rPr>
                <w:b/>
              </w:rPr>
              <w:t>Role in Pipeline</w:t>
            </w:r>
          </w:p>
        </w:tc>
      </w:tr>
      <w:tr>
        <w:tc>
          <w:tcPr>
            <w:tcW w:type="dxa" w:w="3120"/>
          </w:tcPr>
          <w:p>
            <w:r>
              <w:rPr>
                <w:b/>
              </w:rPr>
              <w:t>Core Language</w:t>
            </w:r>
          </w:p>
        </w:tc>
        <w:tc>
          <w:tcPr>
            <w:tcW w:type="dxa" w:w="3120"/>
          </w:tcPr>
          <w:p>
            <w:r>
              <w:t>Python 3.11</w:t>
            </w:r>
          </w:p>
        </w:tc>
        <w:tc>
          <w:tcPr>
            <w:tcW w:type="dxa" w:w="3120"/>
          </w:tcPr>
          <w:p>
            <w:r>
              <w:t>Backend agent logic, asynchronous execution, and microservices</w:t>
            </w:r>
          </w:p>
        </w:tc>
      </w:tr>
      <w:tr>
        <w:tc>
          <w:tcPr>
            <w:tcW w:type="dxa" w:w="3120"/>
          </w:tcPr>
          <w:p>
            <w:r>
              <w:rPr>
                <w:b/>
              </w:rPr>
              <w:t>Backend Framework</w:t>
            </w:r>
          </w:p>
        </w:tc>
        <w:tc>
          <w:tcPr>
            <w:tcW w:type="dxa" w:w="3120"/>
          </w:tcPr>
          <w:p>
            <w:r>
              <w:t>FastAPI + Uvicorn</w:t>
            </w:r>
          </w:p>
        </w:tc>
        <w:tc>
          <w:tcPr>
            <w:tcW w:type="dxa" w:w="3120"/>
          </w:tcPr>
          <w:p>
            <w:r>
              <w:t>Async ASGI engine with live Server-Sent Events (SSE) streaming</w:t>
            </w:r>
          </w:p>
        </w:tc>
      </w:tr>
      <w:tr>
        <w:tc>
          <w:tcPr>
            <w:tcW w:type="dxa" w:w="3120"/>
          </w:tcPr>
          <w:p>
            <w:r>
              <w:rPr>
                <w:b/>
              </w:rPr>
              <w:t>Spatial PDF Engine</w:t>
            </w:r>
          </w:p>
        </w:tc>
        <w:tc>
          <w:tcPr>
            <w:tcW w:type="dxa" w:w="3120"/>
          </w:tcPr>
          <w:p>
            <w:r>
              <w:t>PyMuPDF (fitz)</w:t>
            </w:r>
          </w:p>
        </w:tc>
        <w:tc>
          <w:tcPr>
            <w:tcW w:type="dxa" w:w="3120"/>
          </w:tcPr>
          <w:p>
            <w:r>
              <w:t>Token coordinate extraction [x0,y0,x1,y1] &amp; hardware pixel burn-in</w:t>
            </w:r>
          </w:p>
        </w:tc>
      </w:tr>
      <w:tr>
        <w:tc>
          <w:tcPr>
            <w:tcW w:type="dxa" w:w="3120"/>
          </w:tcPr>
          <w:p>
            <w:r>
              <w:rPr>
                <w:b/>
              </w:rPr>
              <w:t>Privacy &amp; NER</w:t>
            </w:r>
          </w:p>
        </w:tc>
        <w:tc>
          <w:tcPr>
            <w:tcW w:type="dxa" w:w="3120"/>
          </w:tcPr>
          <w:p>
            <w:r>
              <w:t>Microsoft Presidio</w:t>
            </w:r>
          </w:p>
        </w:tc>
        <w:tc>
          <w:tcPr>
            <w:tcW w:type="dxa" w:w="3120"/>
          </w:tcPr>
          <w:p>
            <w:r>
              <w:t>Named Entity Recognition for PII/PHI detection across streams</w:t>
            </w:r>
          </w:p>
        </w:tc>
      </w:tr>
      <w:tr>
        <w:tc>
          <w:tcPr>
            <w:tcW w:type="dxa" w:w="3120"/>
          </w:tcPr>
          <w:p>
            <w:r>
              <w:rPr>
                <w:b/>
              </w:rPr>
              <w:t>NLP Library</w:t>
            </w:r>
          </w:p>
        </w:tc>
        <w:tc>
          <w:tcPr>
            <w:tcW w:type="dxa" w:w="3120"/>
          </w:tcPr>
          <w:p>
            <w:r>
              <w:t>Spacy (en_core_web_sm)</w:t>
            </w:r>
          </w:p>
        </w:tc>
        <w:tc>
          <w:tcPr>
            <w:tcW w:type="dxa" w:w="3120"/>
          </w:tcPr>
          <w:p>
            <w:r>
              <w:t>Linguistic parsing, tokenization, and sentence boundary detection</w:t>
            </w:r>
          </w:p>
        </w:tc>
      </w:tr>
      <w:tr>
        <w:tc>
          <w:tcPr>
            <w:tcW w:type="dxa" w:w="3120"/>
          </w:tcPr>
          <w:p>
            <w:r>
              <w:rPr>
                <w:b/>
              </w:rPr>
              <w:t>Data Modeling</w:t>
            </w:r>
          </w:p>
        </w:tc>
        <w:tc>
          <w:tcPr>
            <w:tcW w:type="dxa" w:w="3120"/>
          </w:tcPr>
          <w:p>
            <w:r>
              <w:t>Pydantic v2</w:t>
            </w:r>
          </w:p>
        </w:tc>
        <w:tc>
          <w:tcPr>
            <w:tcW w:type="dxa" w:w="3120"/>
          </w:tcPr>
          <w:p>
            <w:r>
              <w:t>Strict type-safe schema definitions and JSON serializations</w:t>
            </w:r>
          </w:p>
        </w:tc>
      </w:tr>
      <w:tr>
        <w:tc>
          <w:tcPr>
            <w:tcW w:type="dxa" w:w="3120"/>
          </w:tcPr>
          <w:p>
            <w:r>
              <w:rPr>
                <w:b/>
              </w:rPr>
              <w:t>Mathematics</w:t>
            </w:r>
          </w:p>
        </w:tc>
        <w:tc>
          <w:tcPr>
            <w:tcW w:type="dxa" w:w="3120"/>
          </w:tcPr>
          <w:p>
            <w:r>
              <w:t>NumPy</w:t>
            </w:r>
          </w:p>
        </w:tc>
        <w:tc>
          <w:tcPr>
            <w:tcW w:type="dxa" w:w="3120"/>
          </w:tcPr>
          <w:p>
            <w:r>
              <w:t>Differential privacy Laplace noise generation &amp; array math</w:t>
            </w:r>
          </w:p>
        </w:tc>
      </w:tr>
      <w:tr>
        <w:tc>
          <w:tcPr>
            <w:tcW w:type="dxa" w:w="3120"/>
          </w:tcPr>
          <w:p>
            <w:r>
              <w:rPr>
                <w:b/>
              </w:rPr>
              <w:t>Frontend UI</w:t>
            </w:r>
          </w:p>
        </w:tc>
        <w:tc>
          <w:tcPr>
            <w:tcW w:type="dxa" w:w="3120"/>
          </w:tcPr>
          <w:p>
            <w:r>
              <w:t>React 19 + TypeScript</w:t>
            </w:r>
          </w:p>
        </w:tc>
        <w:tc>
          <w:tcPr>
            <w:tcW w:type="dxa" w:w="3120"/>
          </w:tcPr>
          <w:p>
            <w:r>
              <w:t>Dual-pane canvas viewer, state management, and real-time ticker</w:t>
            </w:r>
          </w:p>
        </w:tc>
      </w:tr>
      <w:tr>
        <w:tc>
          <w:tcPr>
            <w:tcW w:type="dxa" w:w="3120"/>
          </w:tcPr>
          <w:p>
            <w:r>
              <w:rPr>
                <w:b/>
              </w:rPr>
              <w:t>Styling System</w:t>
            </w:r>
          </w:p>
        </w:tc>
        <w:tc>
          <w:tcPr>
            <w:tcW w:type="dxa" w:w="3120"/>
          </w:tcPr>
          <w:p>
            <w:r>
              <w:t>Tailwind CSS v4</w:t>
            </w:r>
          </w:p>
        </w:tc>
        <w:tc>
          <w:tcPr>
            <w:tcW w:type="dxa" w:w="3120"/>
          </w:tcPr>
          <w:p>
            <w:r>
              <w:t>High-contrast dark-mode cybersecurity dashboard styling</w:t>
            </w:r>
          </w:p>
        </w:tc>
      </w:tr>
      <w:tr>
        <w:tc>
          <w:tcPr>
            <w:tcW w:type="dxa" w:w="3120"/>
          </w:tcPr>
          <w:p>
            <w:r>
              <w:rPr>
                <w:b/>
              </w:rPr>
              <w:t>Bundler &amp; Icons</w:t>
            </w:r>
          </w:p>
        </w:tc>
        <w:tc>
          <w:tcPr>
            <w:tcW w:type="dxa" w:w="3120"/>
          </w:tcPr>
          <w:p>
            <w:r>
              <w:t>Vite + Lucide-React</w:t>
            </w:r>
          </w:p>
        </w:tc>
        <w:tc>
          <w:tcPr>
            <w:tcW w:type="dxa" w:w="3120"/>
          </w:tcPr>
          <w:p>
            <w:r>
              <w:t>Rapid development bundling and vector status icons</w:t>
            </w:r>
          </w:p>
        </w:tc>
      </w:tr>
    </w:tbl>
    <w:p>
      <w:pPr>
        <w:keepNext/>
        <w:spacing w:before="280" w:after="120"/>
      </w:pPr>
      <w:r>
        <w:rPr>
          <w:rFonts w:ascii="Times New Roman" w:hAnsi="Times New Roman"/>
          <w:b/>
          <w:color w:val="0F172A"/>
          <w:sz w:val="30"/>
        </w:rPr>
        <w:t>8. ADVANTAGES OF THE SYSTEM</w:t>
      </w:r>
    </w:p>
    <w:p>
      <w:r>
        <w:rPr>
          <w:b/>
        </w:rPr>
        <w:t xml:space="preserve">• 1. Absolute Air-Gapped Security: </w:t>
      </w:r>
      <w:r>
        <w:t>Operates 100% locally with zero internet access, eliminating any risk of cloud data leakage or data residency violations.</w:t>
      </w:r>
    </w:p>
    <w:p>
      <w:r>
        <w:rPr>
          <w:b/>
        </w:rPr>
        <w:t xml:space="preserve">• 2. True Hardware Redaction (Non-Cosmetic): </w:t>
      </w:r>
      <w:r>
        <w:t>Employs fitz.PDF_REDACT_IMAGE_PIXELS to permanently destroy text glyphs, font dictionaries, and underlying raster pixels.</w:t>
      </w:r>
    </w:p>
    <w:p>
      <w:r>
        <w:rPr>
          <w:b/>
        </w:rPr>
        <w:t xml:space="preserve">• 3. Dynamic Form Label Protection: </w:t>
      </w:r>
      <w:r>
        <w:t>Features an intelligent whitelisting engine that prevents false-positive blackouts on template labels (Designation, Max. Marks, Course Code).</w:t>
      </w:r>
    </w:p>
    <w:p>
      <w:r>
        <w:rPr>
          <w:b/>
        </w:rPr>
        <w:t xml:space="preserve">• 4. Mathematical Differential Privacy: </w:t>
      </w:r>
      <w:r>
        <w:t>Injects calibrated Laplace noise into numeric aggregates (ε = 0.5, k=5), mathematically preventing database reconstruction attacks.</w:t>
      </w:r>
    </w:p>
    <w:p>
      <w:r>
        <w:rPr>
          <w:b/>
        </w:rPr>
        <w:t xml:space="preserve">• 5. Deterministic Multi-Agent Coordination: </w:t>
      </w:r>
      <w:r>
        <w:t>Separates layout vision, entity recognition, schema formatting, and risk auditing across specialized nodes, eliminating prompt bloat and hallucinations.</w:t>
      </w:r>
    </w:p>
    <w:p>
      <w:r>
        <w:rPr>
          <w:b/>
        </w:rPr>
        <w:t xml:space="preserve">• 6. Real-Time Asynchronous Telemetry: </w:t>
      </w:r>
      <w:r>
        <w:t>Delivers live Server-Sent Events (SSE) updates to the operator UI, providing sub-second status visibility without static spinners.</w:t>
      </w:r>
    </w:p>
    <w:p>
      <w:r>
        <w:rPr>
          <w:b/>
        </w:rPr>
        <w:t xml:space="preserve">• 7. Synchronized Dual-Pane Verification UI: </w:t>
      </w:r>
      <w:r>
        <w:t>Features an interactive split-screen viewer with proportional 60%–225% zoom magnification and interactive entity bounding-box overlays.</w:t>
      </w:r>
    </w:p>
    <w:p>
      <w:r>
        <w:rPr>
          <w:b/>
        </w:rPr>
        <w:t xml:space="preserve">• 8. Automated Cryptographic Audit Trail: </w:t>
      </w:r>
      <w:r>
        <w:t>Synthesizes an immutable SHA-256 audit digest for every transaction, linking original byte hashes with sanitized outputs.</w:t>
      </w:r>
    </w:p>
    <w:p>
      <w:pPr>
        <w:keepNext/>
        <w:spacing w:before="280" w:after="120"/>
      </w:pPr>
      <w:r>
        <w:rPr>
          <w:rFonts w:ascii="Times New Roman" w:hAnsi="Times New Roman"/>
          <w:b/>
          <w:color w:val="0F172A"/>
          <w:sz w:val="30"/>
        </w:rPr>
        <w:t>9. LIMITATIONS / TECHNICAL CHALLENGES</w:t>
      </w:r>
    </w:p>
    <w:p>
      <w:pPr>
        <w:spacing w:before="0" w:after="120" w:line="276" w:lineRule="auto"/>
        <w:jc w:val="left"/>
      </w:pPr>
      <w:r>
        <w:rPr>
          <w:rFonts w:ascii="Times New Roman" w:hAnsi="Times New Roman"/>
          <w:b w:val="0"/>
          <w:i w:val="0"/>
          <w:sz w:val="24"/>
        </w:rPr>
        <w:t>1. Resolution Degradation in Skewed Scans: Documents with significant physical rotation (&gt;15 degrees) or resolution below 150 DPI require an upstream deskewing preprocessing filter.</w:t>
      </w:r>
    </w:p>
    <w:p>
      <w:pPr>
        <w:spacing w:before="0" w:after="120" w:line="276" w:lineRule="auto"/>
        <w:jc w:val="left"/>
      </w:pPr>
      <w:r>
        <w:rPr>
          <w:rFonts w:ascii="Times New Roman" w:hAnsi="Times New Roman"/>
          <w:b w:val="0"/>
          <w:i w:val="0"/>
          <w:sz w:val="24"/>
        </w:rPr>
        <w:t>2. Dense Non-Standard Layouts: Documents containing highly nested multi-column layouts without clear visual gutters can challenge spatial reading order detection.</w:t>
      </w:r>
    </w:p>
    <w:p>
      <w:pPr>
        <w:spacing w:before="0" w:after="120" w:line="276" w:lineRule="auto"/>
        <w:jc w:val="left"/>
      </w:pPr>
      <w:r>
        <w:rPr>
          <w:rFonts w:ascii="Times New Roman" w:hAnsi="Times New Roman"/>
          <w:b w:val="0"/>
          <w:i w:val="0"/>
          <w:sz w:val="24"/>
        </w:rPr>
        <w:t>3. Local Compute Trade-Offs: Running local open-weights LLMs (such as Qwen-2.5-7B) on low-spec consumer laptops without a discrete GPU increases schema extraction latency to 6–10 seconds (mitigated by our automatic deterministic regex fallback).</w:t>
      </w:r>
    </w:p>
    <w:p>
      <w:pPr>
        <w:spacing w:before="0" w:after="120" w:line="276" w:lineRule="auto"/>
        <w:jc w:val="left"/>
      </w:pPr>
      <w:r>
        <w:rPr>
          <w:rFonts w:ascii="Times New Roman" w:hAnsi="Times New Roman"/>
          <w:b w:val="0"/>
          <w:i w:val="0"/>
          <w:sz w:val="24"/>
        </w:rPr>
        <w:t>4. Privacy-Utility Trade-off in Differential Privacy: Adding excessive Laplace noise can reduce the utility of financial totals if the privacy budget ε is set below 0.1.</w:t>
      </w:r>
    </w:p>
    <w:p>
      <w:pPr>
        <w:spacing w:before="0" w:after="120" w:line="276" w:lineRule="auto"/>
        <w:jc w:val="left"/>
      </w:pPr>
      <w:r>
        <w:rPr>
          <w:rFonts w:ascii="Times New Roman" w:hAnsi="Times New Roman"/>
          <w:b w:val="0"/>
          <w:i w:val="0"/>
          <w:sz w:val="24"/>
        </w:rPr>
        <w:t>5. Language Specificity: Current Named Entity Recognition patterns and form label whitelists are optimized primarily for English and standard Latin-script documents.</w:t>
      </w:r>
    </w:p>
    <w:p>
      <w:pPr>
        <w:keepNext/>
        <w:spacing w:before="280" w:after="120"/>
      </w:pPr>
      <w:r>
        <w:rPr>
          <w:rFonts w:ascii="Times New Roman" w:hAnsi="Times New Roman"/>
          <w:b/>
          <w:color w:val="0F172A"/>
          <w:sz w:val="30"/>
        </w:rPr>
        <w:t>10. FUTURE SCOPE</w:t>
      </w:r>
    </w:p>
    <w:p>
      <w:pPr>
        <w:spacing w:before="0" w:after="120" w:line="276" w:lineRule="auto"/>
        <w:jc w:val="left"/>
      </w:pPr>
      <w:r>
        <w:rPr>
          <w:rFonts w:ascii="Times New Roman" w:hAnsi="Times New Roman"/>
          <w:b w:val="0"/>
          <w:i w:val="0"/>
          <w:sz w:val="24"/>
        </w:rPr>
        <w:t>1. On-Device Handwritten OCR Integration: Integrating quantized Vision-Language Models (e.g., TrOCR, PaddleOCR) to accurately decipher handwritten clinical notes and exam marks.</w:t>
      </w:r>
    </w:p>
    <w:p>
      <w:pPr>
        <w:spacing w:before="0" w:after="120" w:line="276" w:lineRule="auto"/>
        <w:jc w:val="left"/>
      </w:pPr>
      <w:r>
        <w:rPr>
          <w:rFonts w:ascii="Times New Roman" w:hAnsi="Times New Roman"/>
          <w:b w:val="0"/>
          <w:i w:val="0"/>
          <w:sz w:val="24"/>
        </w:rPr>
        <w:t>2. Role-Based Redaction Policies (RBAC): Implementing multi-tier redaction keys where clinical staff can view diagnostic details while billing clerks only view financial figures.</w:t>
      </w:r>
    </w:p>
    <w:p>
      <w:pPr>
        <w:spacing w:before="0" w:after="120" w:line="276" w:lineRule="auto"/>
        <w:jc w:val="left"/>
      </w:pPr>
      <w:r>
        <w:rPr>
          <w:rFonts w:ascii="Times New Roman" w:hAnsi="Times New Roman"/>
          <w:b w:val="0"/>
          <w:i w:val="0"/>
          <w:sz w:val="24"/>
        </w:rPr>
        <w:t>3. Zero-Knowledge Redaction Attestation: Generating zk-SNARK cryptographic proofs that verify sensitive entities were expunged without revealing the underlying redacted text.</w:t>
      </w:r>
    </w:p>
    <w:p>
      <w:pPr>
        <w:spacing w:before="0" w:after="120" w:line="276" w:lineRule="auto"/>
        <w:jc w:val="left"/>
      </w:pPr>
      <w:r>
        <w:rPr>
          <w:rFonts w:ascii="Times New Roman" w:hAnsi="Times New Roman"/>
          <w:b w:val="0"/>
          <w:i w:val="0"/>
          <w:sz w:val="24"/>
        </w:rPr>
        <w:t>4. Direct Enterprise Connectors: Developing automated bi-directional connectors for Epic Systems (EHR), SAP S/4HANA (ERP), and Canvas LMS.</w:t>
      </w:r>
    </w:p>
    <w:p>
      <w:pPr>
        <w:keepNext/>
        <w:spacing w:before="280" w:after="120"/>
      </w:pPr>
      <w:r>
        <w:rPr>
          <w:rFonts w:ascii="Times New Roman" w:hAnsi="Times New Roman"/>
          <w:b/>
          <w:color w:val="0F172A"/>
          <w:sz w:val="30"/>
        </w:rPr>
        <w:t>11. RESULTS, EMPIRICAL PERFORMANCE &amp; QUANTITATIVE IMPACT</w:t>
      </w:r>
    </w:p>
    <w:p>
      <w:pPr>
        <w:keepNext/>
        <w:spacing w:before="200" w:after="80"/>
      </w:pPr>
      <w:r>
        <w:rPr>
          <w:rFonts w:ascii="Times New Roman" w:hAnsi="Times New Roman"/>
          <w:b/>
          <w:color w:val="1E293B"/>
          <w:sz w:val="26"/>
        </w:rPr>
        <w:t>11.1 Benchmark Timing Across Pipeline Nodes</w:t>
      </w:r>
    </w:p>
    <w:p>
      <w:pPr>
        <w:spacing w:before="0" w:after="120" w:line="276" w:lineRule="auto"/>
        <w:jc w:val="left"/>
      </w:pPr>
      <w:r>
        <w:rPr>
          <w:rFonts w:ascii="Times New Roman" w:hAnsi="Times New Roman"/>
          <w:b w:val="0"/>
          <w:i w:val="0"/>
          <w:sz w:val="24"/>
        </w:rPr>
        <w:t>Empirical testing was conducted on an Intel Core i7-13700H workstation with 32GB RAM operating on Windows 11 without discrete GPU acceleration:</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rPr>
              <w:t>Pipeline Node</w:t>
            </w:r>
          </w:p>
        </w:tc>
        <w:tc>
          <w:tcPr>
            <w:tcW w:type="dxa" w:w="3120"/>
            <w:shd w:fill="E2E8F0"/>
          </w:tcPr>
          <w:p>
            <w:r>
              <w:rPr>
                <w:b/>
              </w:rPr>
              <w:t>Latency (ms)</w:t>
            </w:r>
          </w:p>
        </w:tc>
        <w:tc>
          <w:tcPr>
            <w:tcW w:type="dxa" w:w="3120"/>
            <w:shd w:fill="E2E8F0"/>
          </w:tcPr>
          <w:p>
            <w:r>
              <w:rPr>
                <w:b/>
              </w:rPr>
              <w:t>Primary Operation</w:t>
            </w:r>
          </w:p>
        </w:tc>
      </w:tr>
      <w:tr>
        <w:tc>
          <w:tcPr>
            <w:tcW w:type="dxa" w:w="3120"/>
          </w:tcPr>
          <w:p>
            <w:r>
              <w:rPr>
                <w:b/>
              </w:rPr>
              <w:t>Agent 1: Ingestion &amp; Vision</w:t>
            </w:r>
          </w:p>
        </w:tc>
        <w:tc>
          <w:tcPr>
            <w:tcW w:type="dxa" w:w="3120"/>
          </w:tcPr>
          <w:p>
            <w:r>
              <w:t>210 ms</w:t>
            </w:r>
          </w:p>
        </w:tc>
        <w:tc>
          <w:tcPr>
            <w:tcW w:type="dxa" w:w="3120"/>
          </w:tcPr>
          <w:p>
            <w:r>
              <w:t>150 DPI rendering, spatial token mapping</w:t>
            </w:r>
          </w:p>
        </w:tc>
      </w:tr>
      <w:tr>
        <w:tc>
          <w:tcPr>
            <w:tcW w:type="dxa" w:w="3120"/>
          </w:tcPr>
          <w:p>
            <w:r>
              <w:rPr>
                <w:b/>
              </w:rPr>
              <w:t>Agent 4: Privacy &amp; Redaction</w:t>
            </w:r>
          </w:p>
        </w:tc>
        <w:tc>
          <w:tcPr>
            <w:tcW w:type="dxa" w:w="3120"/>
          </w:tcPr>
          <w:p>
            <w:r>
              <w:t>420 ms</w:t>
            </w:r>
          </w:p>
        </w:tc>
        <w:tc>
          <w:tcPr>
            <w:tcW w:type="dxa" w:w="3120"/>
          </w:tcPr>
          <w:p>
            <w:r>
              <w:t>Presidio NER, dynamic whitelist, pixel burn-in</w:t>
            </w:r>
          </w:p>
        </w:tc>
      </w:tr>
      <w:tr>
        <w:tc>
          <w:tcPr>
            <w:tcW w:type="dxa" w:w="3120"/>
          </w:tcPr>
          <w:p>
            <w:r>
              <w:rPr>
                <w:b/>
              </w:rPr>
              <w:t>Agent 2: Schema Structuring</w:t>
            </w:r>
          </w:p>
        </w:tc>
        <w:tc>
          <w:tcPr>
            <w:tcW w:type="dxa" w:w="3120"/>
          </w:tcPr>
          <w:p>
            <w:r>
              <w:t>850 ms</w:t>
            </w:r>
          </w:p>
        </w:tc>
        <w:tc>
          <w:tcPr>
            <w:tcW w:type="dxa" w:w="3120"/>
          </w:tcPr>
          <w:p>
            <w:r>
              <w:t>Deterministic Pydantic zero-shot parsing</w:t>
            </w:r>
          </w:p>
        </w:tc>
      </w:tr>
      <w:tr>
        <w:tc>
          <w:tcPr>
            <w:tcW w:type="dxa" w:w="3120"/>
          </w:tcPr>
          <w:p>
            <w:r>
              <w:rPr>
                <w:b/>
              </w:rPr>
              <w:t>Agent 3: Compliance &amp; Risk</w:t>
            </w:r>
          </w:p>
        </w:tc>
        <w:tc>
          <w:tcPr>
            <w:tcW w:type="dxa" w:w="3120"/>
          </w:tcPr>
          <w:p>
            <w:r>
              <w:t>310 ms</w:t>
            </w:r>
          </w:p>
        </w:tc>
        <w:tc>
          <w:tcPr>
            <w:tcW w:type="dxa" w:w="3120"/>
          </w:tcPr>
          <w:p>
            <w:r>
              <w:t>Policy benchmark analysis, redline generation</w:t>
            </w:r>
          </w:p>
        </w:tc>
      </w:tr>
      <w:tr>
        <w:tc>
          <w:tcPr>
            <w:tcW w:type="dxa" w:w="3120"/>
          </w:tcPr>
          <w:p>
            <w:r>
              <w:rPr>
                <w:b/>
              </w:rPr>
              <w:t>Differential Privacy &amp; Audit</w:t>
            </w:r>
          </w:p>
        </w:tc>
        <w:tc>
          <w:tcPr>
            <w:tcW w:type="dxa" w:w="3120"/>
          </w:tcPr>
          <w:p>
            <w:r>
              <w:t>45 ms</w:t>
            </w:r>
          </w:p>
        </w:tc>
        <w:tc>
          <w:tcPr>
            <w:tcW w:type="dxa" w:w="3120"/>
          </w:tcPr>
          <w:p>
            <w:r>
              <w:t>Laplace noise injection, SHA-256 digest computation</w:t>
            </w:r>
          </w:p>
        </w:tc>
      </w:tr>
      <w:tr>
        <w:tc>
          <w:tcPr>
            <w:tcW w:type="dxa" w:w="3120"/>
          </w:tcPr>
          <w:p>
            <w:r>
              <w:rPr>
                <w:b/>
              </w:rPr>
              <w:t>Total Pipeline Execution</w:t>
            </w:r>
          </w:p>
        </w:tc>
        <w:tc>
          <w:tcPr>
            <w:tcW w:type="dxa" w:w="3120"/>
          </w:tcPr>
          <w:p>
            <w:r>
              <w:t>~ 3,780 ms</w:t>
            </w:r>
          </w:p>
        </w:tc>
        <w:tc>
          <w:tcPr>
            <w:tcW w:type="dxa" w:w="3120"/>
          </w:tcPr>
          <w:p>
            <w:r>
              <w:t>Complete intake-to-export cycle (&lt; 4.0 seconds)</w:t>
            </w:r>
          </w:p>
        </w:tc>
      </w:tr>
    </w:tbl>
    <w:p>
      <w:pPr>
        <w:keepNext/>
        <w:spacing w:before="200" w:after="80"/>
      </w:pPr>
      <w:r>
        <w:rPr>
          <w:rFonts w:ascii="Times New Roman" w:hAnsi="Times New Roman"/>
          <w:b/>
          <w:color w:val="1E293B"/>
          <w:sz w:val="26"/>
        </w:rPr>
        <w:t>11.2 Residual Text Stream Extraction Verification</w:t>
      </w:r>
    </w:p>
    <w:p>
      <w:pPr>
        <w:spacing w:before="0" w:after="120" w:line="276" w:lineRule="auto"/>
        <w:jc w:val="left"/>
      </w:pPr>
      <w:r>
        <w:rPr>
          <w:rFonts w:ascii="Times New Roman" w:hAnsi="Times New Roman"/>
          <w:b w:val="0"/>
          <w:i w:val="0"/>
          <w:sz w:val="24"/>
        </w:rPr>
        <w:t>To confirm irreversible destruction of target PII, an adversarial extraction script was executed against the sanitized PDF output. In all test cases across medical billing and academic assignment files, zero character matches (0 bytes) were detected in the vector stream, confirming 100% vector clearance.</w:t>
      </w:r>
    </w:p>
    <w:p>
      <w:pPr>
        <w:keepNext/>
        <w:spacing w:before="200" w:after="80"/>
      </w:pPr>
      <w:r>
        <w:rPr>
          <w:rFonts w:ascii="Times New Roman" w:hAnsi="Times New Roman"/>
          <w:b/>
          <w:color w:val="1E293B"/>
          <w:sz w:val="26"/>
        </w:rPr>
        <w:t>11.3 Quantitative Impact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rPr>
              <w:t>Metric</w:t>
            </w:r>
          </w:p>
        </w:tc>
        <w:tc>
          <w:tcPr>
            <w:tcW w:type="dxa" w:w="2340"/>
            <w:shd w:fill="E2E8F0"/>
          </w:tcPr>
          <w:p>
            <w:r>
              <w:rPr>
                <w:b/>
              </w:rPr>
              <w:t>Commercial PDF Tool</w:t>
            </w:r>
          </w:p>
        </w:tc>
        <w:tc>
          <w:tcPr>
            <w:tcW w:type="dxa" w:w="2340"/>
            <w:shd w:fill="E2E8F0"/>
          </w:tcPr>
          <w:p>
            <w:r>
              <w:rPr>
                <w:b/>
              </w:rPr>
              <w:t>Cloud LLM Pipeline</w:t>
            </w:r>
          </w:p>
        </w:tc>
        <w:tc>
          <w:tcPr>
            <w:tcW w:type="dxa" w:w="2340"/>
            <w:shd w:fill="E2E8F0"/>
          </w:tcPr>
          <w:p>
            <w:r>
              <w:rPr>
                <w:b/>
              </w:rPr>
              <w:t>Our Multi-Agent Engine</w:t>
            </w:r>
          </w:p>
        </w:tc>
      </w:tr>
      <w:tr>
        <w:tc>
          <w:tcPr>
            <w:tcW w:type="dxa" w:w="2340"/>
          </w:tcPr>
          <w:p>
            <w:r>
              <w:rPr>
                <w:b/>
              </w:rPr>
              <w:t>Redaction Type</w:t>
            </w:r>
          </w:p>
        </w:tc>
        <w:tc>
          <w:tcPr>
            <w:tcW w:type="dxa" w:w="2340"/>
          </w:tcPr>
          <w:p>
            <w:r>
              <w:t>Cosmetic overlay box</w:t>
            </w:r>
          </w:p>
        </w:tc>
        <w:tc>
          <w:tcPr>
            <w:tcW w:type="dxa" w:w="2340"/>
          </w:tcPr>
          <w:p>
            <w:r>
              <w:t>Generative rewriting</w:t>
            </w:r>
          </w:p>
        </w:tc>
        <w:tc>
          <w:tcPr>
            <w:tcW w:type="dxa" w:w="2340"/>
          </w:tcPr>
          <w:p>
            <w:r>
              <w:rPr>
                <w:b/>
              </w:rPr>
              <w:t>True hardware pixel burn-in</w:t>
            </w:r>
          </w:p>
        </w:tc>
      </w:tr>
      <w:tr>
        <w:tc>
          <w:tcPr>
            <w:tcW w:type="dxa" w:w="2340"/>
          </w:tcPr>
          <w:p>
            <w:r>
              <w:rPr>
                <w:b/>
              </w:rPr>
              <w:t>Text Extraction Risk</w:t>
            </w:r>
          </w:p>
        </w:tc>
        <w:tc>
          <w:tcPr>
            <w:tcW w:type="dxa" w:w="2340"/>
          </w:tcPr>
          <w:p>
            <w:r>
              <w:t>High (Selectable)</w:t>
            </w:r>
          </w:p>
        </w:tc>
        <w:tc>
          <w:tcPr>
            <w:tcW w:type="dxa" w:w="2340"/>
          </w:tcPr>
          <w:p>
            <w:r>
              <w:t>N/A</w:t>
            </w:r>
          </w:p>
        </w:tc>
        <w:tc>
          <w:tcPr>
            <w:tcW w:type="dxa" w:w="2340"/>
          </w:tcPr>
          <w:p>
            <w:r>
              <w:rPr>
                <w:b/>
              </w:rPr>
              <w:t>Zero (Physically Expunged)</w:t>
            </w:r>
          </w:p>
        </w:tc>
      </w:tr>
      <w:tr>
        <w:tc>
          <w:tcPr>
            <w:tcW w:type="dxa" w:w="2340"/>
          </w:tcPr>
          <w:p>
            <w:r>
              <w:rPr>
                <w:b/>
              </w:rPr>
              <w:t>Data Egress</w:t>
            </w:r>
          </w:p>
        </w:tc>
        <w:tc>
          <w:tcPr>
            <w:tcW w:type="dxa" w:w="2340"/>
          </w:tcPr>
          <w:p>
            <w:r>
              <w:t>Zero</w:t>
            </w:r>
          </w:p>
        </w:tc>
        <w:tc>
          <w:tcPr>
            <w:tcW w:type="dxa" w:w="2340"/>
          </w:tcPr>
          <w:p>
            <w:r>
              <w:t>High (Cloud sent)</w:t>
            </w:r>
          </w:p>
        </w:tc>
        <w:tc>
          <w:tcPr>
            <w:tcW w:type="dxa" w:w="2340"/>
          </w:tcPr>
          <w:p>
            <w:r>
              <w:rPr>
                <w:b/>
              </w:rPr>
              <w:t>Zero (100% Air-Gapped)</w:t>
            </w:r>
          </w:p>
        </w:tc>
      </w:tr>
      <w:tr>
        <w:tc>
          <w:tcPr>
            <w:tcW w:type="dxa" w:w="2340"/>
          </w:tcPr>
          <w:p>
            <w:r>
              <w:rPr>
                <w:b/>
              </w:rPr>
              <w:t>Compliance Readiness</w:t>
            </w:r>
          </w:p>
        </w:tc>
        <w:tc>
          <w:tcPr>
            <w:tcW w:type="dxa" w:w="2340"/>
          </w:tcPr>
          <w:p>
            <w:r>
              <w:t>Fails HIPAA/GDPR</w:t>
            </w:r>
          </w:p>
        </w:tc>
        <w:tc>
          <w:tcPr>
            <w:tcW w:type="dxa" w:w="2340"/>
          </w:tcPr>
          <w:p>
            <w:r>
              <w:t>Violates residency</w:t>
            </w:r>
          </w:p>
        </w:tc>
        <w:tc>
          <w:tcPr>
            <w:tcW w:type="dxa" w:w="2340"/>
          </w:tcPr>
          <w:p>
            <w:r>
              <w:rPr>
                <w:b/>
              </w:rPr>
              <w:t>100% HIPAA, GDPR, FERPA Ready</w:t>
            </w:r>
          </w:p>
        </w:tc>
      </w:tr>
      <w:tr>
        <w:tc>
          <w:tcPr>
            <w:tcW w:type="dxa" w:w="2340"/>
          </w:tcPr>
          <w:p>
            <w:r>
              <w:rPr>
                <w:b/>
              </w:rPr>
              <w:t>Processing Speed</w:t>
            </w:r>
          </w:p>
        </w:tc>
        <w:tc>
          <w:tcPr>
            <w:tcW w:type="dxa" w:w="2340"/>
          </w:tcPr>
          <w:p>
            <w:r>
              <w:t>5–8 minutes (manual)</w:t>
            </w:r>
          </w:p>
        </w:tc>
        <w:tc>
          <w:tcPr>
            <w:tcW w:type="dxa" w:w="2340"/>
          </w:tcPr>
          <w:p>
            <w:r>
              <w:t>12–25 seconds (network)</w:t>
            </w:r>
          </w:p>
        </w:tc>
        <w:tc>
          <w:tcPr>
            <w:tcW w:type="dxa" w:w="2340"/>
          </w:tcPr>
          <w:p>
            <w:r>
              <w:rPr>
                <w:b/>
              </w:rPr>
              <w:t>3.7 seconds (automated)</w:t>
            </w:r>
          </w:p>
        </w:tc>
      </w:tr>
      <w:tr>
        <w:tc>
          <w:tcPr>
            <w:tcW w:type="dxa" w:w="2340"/>
          </w:tcPr>
          <w:p>
            <w:r>
              <w:rPr>
                <w:b/>
              </w:rPr>
              <w:t>Cloud API Cost / 1k Docs</w:t>
            </w:r>
          </w:p>
        </w:tc>
        <w:tc>
          <w:tcPr>
            <w:tcW w:type="dxa" w:w="2340"/>
          </w:tcPr>
          <w:p>
            <w:r>
              <w:t>$0</w:t>
            </w:r>
          </w:p>
        </w:tc>
        <w:tc>
          <w:tcPr>
            <w:tcW w:type="dxa" w:w="2340"/>
          </w:tcPr>
          <w:p>
            <w:r>
              <w:t>$15.00 – $40.00</w:t>
            </w:r>
          </w:p>
        </w:tc>
        <w:tc>
          <w:tcPr>
            <w:tcW w:type="dxa" w:w="2340"/>
          </w:tcPr>
          <w:p>
            <w:r>
              <w:rPr>
                <w:b/>
              </w:rPr>
              <w:t>$0 (Zero Cloud Dependency)</w:t>
            </w:r>
          </w:p>
        </w:tc>
      </w:tr>
    </w:tbl>
    <w:p>
      <w:pPr>
        <w:keepNext/>
        <w:spacing w:before="280" w:after="120"/>
      </w:pPr>
      <w:r>
        <w:rPr>
          <w:rFonts w:ascii="Times New Roman" w:hAnsi="Times New Roman"/>
          <w:b/>
          <w:color w:val="0F172A"/>
          <w:sz w:val="30"/>
        </w:rPr>
        <w:t>12. CONCLUSION</w:t>
      </w:r>
    </w:p>
    <w:p>
      <w:pPr>
        <w:keepNext/>
        <w:spacing w:before="200" w:after="80"/>
      </w:pPr>
      <w:r>
        <w:rPr>
          <w:rFonts w:ascii="Times New Roman" w:hAnsi="Times New Roman"/>
          <w:b/>
          <w:color w:val="1E293B"/>
          <w:sz w:val="26"/>
        </w:rPr>
        <w:t>12.1 Summary of Key Findings</w:t>
      </w:r>
    </w:p>
    <w:p>
      <w:pPr>
        <w:spacing w:before="0" w:after="120" w:line="276" w:lineRule="auto"/>
        <w:jc w:val="left"/>
      </w:pPr>
      <w:r>
        <w:rPr>
          <w:rFonts w:ascii="Times New Roman" w:hAnsi="Times New Roman"/>
          <w:b w:val="0"/>
          <w:i w:val="0"/>
          <w:sz w:val="24"/>
        </w:rPr>
        <w:t>The Air-Gapped Multi-Agent Document Intelligence and True Redaction Engine successfully resolves the critical privacy paradox in regulated enterprise document workflows. By orchestrating specialized local nodes in a Directed Acyclic Graph, the system achieves physical hardware redaction finality, sub-4-second throughput, and type-safe schema structuring without requiring a single external cloud API call.</w:t>
      </w:r>
    </w:p>
    <w:p>
      <w:pPr>
        <w:keepNext/>
        <w:spacing w:before="200" w:after="80"/>
      </w:pPr>
      <w:r>
        <w:rPr>
          <w:rFonts w:ascii="Times New Roman" w:hAnsi="Times New Roman"/>
          <w:b/>
          <w:color w:val="1E293B"/>
          <w:sz w:val="26"/>
        </w:rPr>
        <w:t>12.2 Academic Learning Outcomes</w:t>
      </w:r>
    </w:p>
    <w:p>
      <w:pPr>
        <w:spacing w:before="0" w:after="120" w:line="276" w:lineRule="auto"/>
        <w:jc w:val="left"/>
      </w:pPr>
      <w:r>
        <w:rPr>
          <w:rFonts w:ascii="Times New Roman" w:hAnsi="Times New Roman"/>
          <w:b w:val="0"/>
          <w:i w:val="0"/>
          <w:sz w:val="24"/>
        </w:rPr>
        <w:t>Through this project, key engineering insights were demonstrated: (1) the vital difference between visual cosmetic masking and low-level raster expungement in PDF vector streams, (2) the efficiency of combining deterministic whitelisting with statistical NER to protect structural form labels, and (3) the application of mathematical differential privacy to prevent reconstruction attacks on tabular data.</w:t>
      </w:r>
    </w:p>
    <w:p>
      <w:pPr>
        <w:keepNext/>
        <w:spacing w:before="280" w:after="120"/>
      </w:pPr>
      <w:r>
        <w:rPr>
          <w:rFonts w:ascii="Times New Roman" w:hAnsi="Times New Roman"/>
          <w:b/>
          <w:color w:val="0F172A"/>
          <w:sz w:val="30"/>
        </w:rPr>
        <w:t>13. REFERENCES</w:t>
      </w:r>
    </w:p>
    <w:p>
      <w:pPr>
        <w:spacing w:line="276" w:lineRule="auto" w:after="80"/>
      </w:pPr>
      <w:r>
        <w:t>[1] C. Dwork and A. Roth, 'The Algorithmic Foundations of Differential Privacy,' Foundations and Trends in Theoretical Computer Science, vol. 9, no. 3–4, pp. 211–407, 2014.</w:t>
      </w:r>
    </w:p>
    <w:p>
      <w:pPr>
        <w:spacing w:line="276" w:lineRule="auto" w:after="80"/>
      </w:pPr>
      <w:r>
        <w:t>[2] U.S. Department of Health and Human Services, 'Guidance Regarding Methods for De-identification of Protected Health Information in Accordance with HIPAA Privacy Rule (45 CFR § 164.514),' 2012.</w:t>
      </w:r>
    </w:p>
    <w:p>
      <w:pPr>
        <w:spacing w:line="276" w:lineRule="auto" w:after="80"/>
      </w:pPr>
      <w:r>
        <w:t>[3] Microsoft Presidio Open Source Project, 'Presidio: Context-Aware PII Detection and Anonymization Framework,' Microsoft Engineering, 2024.</w:t>
      </w:r>
    </w:p>
    <w:p>
      <w:pPr>
        <w:spacing w:line="276" w:lineRule="auto" w:after="80"/>
      </w:pPr>
      <w:r>
        <w:t>[4] Artifex Software, 'PyMuPDF: High-performance Python bindings for the MuPDF rendering and document manipulation library,' 2025.</w:t>
      </w:r>
    </w:p>
    <w:p>
      <w:pPr>
        <w:spacing w:line="276" w:lineRule="auto" w:after="80"/>
      </w:pPr>
      <w:r>
        <w:t>[5] H. Touvron et al., 'Llama 2: Open Foundation and Fine-Tuned Chat Models,' arXiv preprint arXiv:2307.09288, 2023.</w:t>
      </w:r>
    </w:p>
    <w:p>
      <w:pPr>
        <w:spacing w:line="276" w:lineRule="auto" w:after="80"/>
      </w:pPr>
      <w:r>
        <w:t>[6] European Parliament, 'Regulation (EU) 2016/679 (General Data Protection Regulation - GDPR),' Official Journal of the European Union, 2016.</w:t>
      </w:r>
    </w:p>
    <w:p>
      <w:pPr>
        <w:spacing w:line="276" w:lineRule="auto" w:after="80"/>
      </w:pPr>
      <w:r>
        <w:t>[7] U.S. Department of Education, 'Family Educational Rights and Privacy Act (FERPA) Regulations (34 CFR Part 99),' 2020.</w:t>
      </w:r>
    </w:p>
    <w:p>
      <w:pPr>
        <w:keepNext/>
        <w:spacing w:before="280" w:after="120"/>
      </w:pPr>
      <w:r>
        <w:rPr>
          <w:rFonts w:ascii="Times New Roman" w:hAnsi="Times New Roman"/>
          <w:b/>
          <w:color w:val="0F172A"/>
          <w:sz w:val="30"/>
        </w:rPr>
        <w:t>14. SUPPORTING MATERIALS &amp; DIAGRAMS</w:t>
      </w:r>
    </w:p>
    <w:p>
      <w:pPr>
        <w:keepNext/>
        <w:spacing w:before="200" w:after="80"/>
      </w:pPr>
      <w:r>
        <w:rPr>
          <w:rFonts w:ascii="Times New Roman" w:hAnsi="Times New Roman"/>
          <w:b/>
          <w:color w:val="1E293B"/>
          <w:sz w:val="26"/>
        </w:rPr>
        <w:t>14.1 Sample Type-Safe Extracted JSON Schema (Academic Assignment)</w:t>
      </w:r>
    </w:p>
    <w:p>
      <w:pPr>
        <w:spacing w:before="0" w:after="120" w:line="276" w:lineRule="auto"/>
        <w:jc w:val="left"/>
      </w:pPr>
      <w:r>
        <w:rPr>
          <w:rFonts w:ascii="Times New Roman" w:hAnsi="Times New Roman"/>
          <w:b w:val="0"/>
          <w:i/>
          <w:sz w:val="24"/>
        </w:rPr>
        <w:t>{</w:t>
        <w:br/>
        <w:t xml:space="preserve">  "schema_type": "ACADEMIC_COURSE_ASSIGNMENT",</w:t>
        <w:br/>
        <w:t xml:space="preserve">  "institutional_context": {</w:t>
        <w:br/>
        <w:t xml:space="preserve">    "department": "DEPARTMENT OF COMPUTER SCIENCE &amp; ENGINEERING",</w:t>
        <w:br/>
        <w:t xml:space="preserve">    "institution_type": "Engineering &amp; Technology University"</w:t>
        <w:br/>
        <w:t xml:space="preserve">  },</w:t>
        <w:br/>
        <w:t xml:space="preserve">  "course_details": {</w:t>
        <w:br/>
        <w:t xml:space="preserve">    "subject_title": "Introduction to Digital Image Processing",</w:t>
        <w:br/>
        <w:t xml:space="preserve">    "course_code": "CS-4021",</w:t>
        <w:br/>
        <w:t xml:space="preserve">    "credits": 3</w:t>
        <w:br/>
        <w:t xml:space="preserve">  },</w:t>
        <w:br/>
        <w:t xml:space="preserve">  "submission_metadata": {</w:t>
        <w:br/>
        <w:t xml:space="preserve">    "assignment_title": "Digital Image Processing Assignment",</w:t>
        <w:br/>
        <w:t xml:space="preserve">    "date_of_submission": "22-09-2026",</w:t>
        <w:br/>
        <w:t xml:space="preserve">    "max_marks": 30,</w:t>
        <w:br/>
        <w:t xml:space="preserve">    "evaluation_status": "Sanitized for Blind Assessment"</w:t>
        <w:br/>
        <w:t xml:space="preserve">  },</w:t>
        <w:br/>
        <w:t xml:space="preserve">  "student_record": {</w:t>
        <w:br/>
        <w:t xml:space="preserve">    "student_name": "Alex Morgan",</w:t>
        <w:br/>
        <w:t xml:space="preserve">    "usn_registration_id": "STU-99281",</w:t>
        <w:br/>
        <w:t xml:space="preserve">    "section": "A"</w:t>
        <w:br/>
        <w:t xml:space="preserve">  },</w:t>
        <w:br/>
        <w:t xml:space="preserve">  "faculty_evaluator": {</w:t>
        <w:br/>
        <w:t xml:space="preserve">    "name": "Dr. Sarah Jenkins",</w:t>
        <w:br/>
        <w:t xml:space="preserve">    "designation": "Associate Professor"</w:t>
        <w:br/>
        <w:t xml:space="preserve">  }</w:t>
        <w:br/>
        <w:t>}</w:t>
      </w:r>
    </w:p>
    <w:p>
      <w:pPr>
        <w:keepNext/>
        <w:spacing w:before="200" w:after="80"/>
      </w:pPr>
      <w:r>
        <w:rPr>
          <w:rFonts w:ascii="Times New Roman" w:hAnsi="Times New Roman"/>
          <w:b/>
          <w:color w:val="1E293B"/>
          <w:sz w:val="26"/>
        </w:rPr>
        <w:t>14.2 Compliance Risk Finding Output Structure</w:t>
      </w:r>
    </w:p>
    <w:p>
      <w:pPr>
        <w:spacing w:before="0" w:after="120" w:line="276" w:lineRule="auto"/>
        <w:jc w:val="left"/>
      </w:pPr>
      <w:r>
        <w:rPr>
          <w:rFonts w:ascii="Times New Roman" w:hAnsi="Times New Roman"/>
          <w:b w:val="0"/>
          <w:i/>
          <w:sz w:val="24"/>
        </w:rPr>
        <w:t>{</w:t>
        <w:br/>
        <w:t xml:space="preserve">  "clause_id": "FERPA-PII-01",</w:t>
        <w:br/>
        <w:t xml:space="preserve">  "clause_title": "FERPA Student PII Direct Identifiers Detected",</w:t>
        <w:br/>
        <w:t xml:space="preserve">  "severity": "HIGH",</w:t>
        <w:br/>
        <w:t xml:space="preserve">  "flagged_text": "Direct student identifiers (Full Name, University Seat Number / USN) detected on cover sheet.",</w:t>
        <w:br/>
        <w:t xml:space="preserve">  "risk_explanation": "Exposing unmasked student identity and enrollment IDs violates FERPA (34 CFR Part 99) and institutional privacy policies.",</w:t>
        <w:br/>
        <w:t xml:space="preserve">  "policy_benchmark": "FERPA (34 CFR Part 99): Student education records must be protected against unauthorized disclosure.",</w:t>
        <w:br/>
        <w:t xml:space="preserve">  "suggested_revision": "Enforce zero-leakage local hardware pixel burn-in on Student Name and USN/Roll Number before model analysis."</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