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Credit Risk Scorecard 프로젝트 요약</w:t>
      </w:r>
    </w:p>
    <w:p>
      <w:pPr>
        <w:spacing w:after="300"/>
      </w:pPr>
      <w:r>
        <w:rPr>
          <w:i/>
          <w:iCs/>
          <w:color w:val="555555"/>
        </w:rPr>
        <w:t xml:space="preserve">Home Credit Default Risk 기반 여신심사 스코어카드 파이프라인 · 자소서/면접용 요약</w:t>
      </w:r>
    </w:p>
    <w:p>
      <w:pPr>
        <w:pStyle w:val="Heading1"/>
        <w:spacing w:after="150" w:before="300"/>
      </w:pPr>
      <w:r>
        <w:t xml:space="preserve">1. 프로젝트 개요</w:t>
      </w:r>
    </w:p>
    <w:p>
      <w:pPr>
        <w:spacing w:after="120"/>
      </w:pPr>
      <w:r>
        <w:t xml:space="preserve">Kaggle의 Home Credit Default Risk 데이터(307,511건)를 사용해, 실제 여신심사 업무 흐름을 변수처리 → WoE/IV 스코어카드 → 고도화 모델 → 등급설계 → 컷오프 시뮬레이션 → 안정성/해석까지 엔드투엔드로 재현한 개인 프로젝트입니다. 전처리부터 리포트 생성까지 run.py 한 번으로 자동 실행되며, 모든 결과는 SQL로 조회 가능한 SQLite에 저장하고 Streamlit 대시보드로 인터랙티브하게 확인할 수 있습니다.</w:t>
      </w:r>
    </w:p>
    <w:p>
      <w:pPr>
        <w:pStyle w:val="Heading1"/>
        <w:spacing w:after="150" w:before="300"/>
      </w:pPr>
      <w:r>
        <w:t xml:space="preserve">2. 핵심 성과 지표</w:t>
      </w:r>
    </w:p>
    <w:p>
      <w:pPr>
        <w:spacing w:after="120"/>
      </w:pPr>
      <w:r>
        <w:t xml:space="preserve">IV(Information Value) 기준(0.02~0.5)으로 5개 이상 변수 중 상위 변수(EXT_SOURCE_3, EXT_SOURCE_2, EXT_SOURCE_1, DAYS_EMPLOYED, AMT_GOODS_PRICE 등)를 선별해 스코어카드를 구성했습니다.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600"/>
      </w:tblGrid>
      <w:tr>
        <w:tc>
          <w:tcPr>
            <w:tcW w:type="dxa" w:w="4200"/>
            <w:shd w:fill="E8EEF9" w:val="clear"/>
          </w:tcPr>
          <w:p>
            <w:r>
              <w:rPr>
                <w:b/>
                <w:bCs/>
              </w:rPr>
              <w:t xml:space="preserve">모델</w:t>
            </w:r>
          </w:p>
        </w:tc>
        <w:tc>
          <w:tcPr>
            <w:tcW w:type="dxa" w:w="1600"/>
            <w:shd w:fill="E8EEF9" w:val="clear"/>
          </w:tcPr>
          <w:p>
            <w:r>
              <w:rPr>
                <w:b/>
                <w:bCs/>
              </w:rPr>
              <w:t xml:space="preserve">AUC</w:t>
            </w:r>
          </w:p>
        </w:tc>
        <w:tc>
          <w:tcPr>
            <w:tcW w:type="dxa" w:w="1600"/>
            <w:shd w:fill="E8EEF9" w:val="clear"/>
          </w:tcPr>
          <w:p>
            <w:r>
              <w:rPr>
                <w:b/>
                <w:bCs/>
              </w:rPr>
              <w:t xml:space="preserve">KS</w:t>
            </w:r>
          </w:p>
        </w:tc>
        <w:tc>
          <w:tcPr>
            <w:tcW w:type="dxa" w:w="1600"/>
            <w:shd w:fill="E8EEF9" w:val="clear"/>
          </w:tcPr>
          <w:p>
            <w:r>
              <w:rPr>
                <w:b/>
                <w:bCs/>
              </w:rPr>
              <w:t xml:space="preserve">Gini</w:t>
            </w:r>
          </w:p>
        </w:tc>
      </w:tr>
      <w:tr>
        <w:tc>
          <w:tcPr>
            <w:tcW w:type="dxa" w:w="4200"/>
          </w:tcPr>
          <w:p>
            <w:r>
              <w:t xml:space="preserve">로지스틱 회귀 (WoE 스코어카드, 베이스라인)</w:t>
            </w:r>
          </w:p>
        </w:tc>
        <w:tc>
          <w:tcPr>
            <w:tcW w:type="dxa" w:w="1600"/>
          </w:tcPr>
          <w:p>
            <w:r>
              <w:t xml:space="preserve">0.7428</w:t>
            </w:r>
          </w:p>
        </w:tc>
        <w:tc>
          <w:tcPr>
            <w:tcW w:type="dxa" w:w="1600"/>
          </w:tcPr>
          <w:p>
            <w:r>
              <w:t xml:space="preserve">0.3684</w:t>
            </w:r>
          </w:p>
        </w:tc>
        <w:tc>
          <w:tcPr>
            <w:tcW w:type="dxa" w:w="1600"/>
          </w:tcPr>
          <w:p>
            <w:r>
              <w:t xml:space="preserve">0.4856</w:t>
            </w:r>
          </w:p>
        </w:tc>
      </w:tr>
      <w:tr>
        <w:tc>
          <w:tcPr>
            <w:tcW w:type="dxa" w:w="4200"/>
          </w:tcPr>
          <w:p>
            <w:r>
              <w:t xml:space="preserve">LightGBM (고도화 모델)</w:t>
            </w:r>
          </w:p>
        </w:tc>
        <w:tc>
          <w:tcPr>
            <w:tcW w:type="dxa" w:w="1600"/>
          </w:tcPr>
          <w:p>
            <w:r>
              <w:t xml:space="preserve">0.7605</w:t>
            </w:r>
          </w:p>
        </w:tc>
        <w:tc>
          <w:tcPr>
            <w:tcW w:type="dxa" w:w="1600"/>
          </w:tcPr>
          <w:p>
            <w:r>
              <w:t xml:space="preserve">0.3922</w:t>
            </w:r>
          </w:p>
        </w:tc>
        <w:tc>
          <w:tcPr>
            <w:tcW w:type="dxa" w:w="1600"/>
          </w:tcPr>
          <w:p>
            <w:r>
              <w:t xml:space="preserve">0.5209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챔피언-챌린저 판단</w:t>
      </w:r>
    </w:p>
    <w:p>
      <w:pPr>
        <w:spacing w:after="120"/>
      </w:pPr>
      <w:r>
        <w:t xml:space="preserve">단순히 성능이 더 높은 모델을 채택하지 않고, 사전에 정의한 임계값(AUC +0.01pt)을 기준으로 판단했습니다. LightGBM이 베이스라인 로지스틱 스코어카드 대비 AUC를 +1.77%p(절대값 0.0177) 개선했고, 이는 기준치를 상회하여 "LightGBM (고도화 모델)"을 챔피언 모델로 채택했습니다. 기준에 미달했다면 해석 가능성이 높은 로지스틱 스코어카드를 유지하는 방향으로 설계했습니다.</w:t>
      </w:r>
    </w:p>
    <w:p>
      <w:pPr>
        <w:pStyle w:val="Heading1"/>
        <w:spacing w:after="150" w:before="300"/>
      </w:pPr>
      <w:r>
        <w:t xml:space="preserve">4. 신용 등급 설계 및 비즈니스 임팩트</w:t>
      </w:r>
    </w:p>
    <w:p>
      <w:pPr>
        <w:spacing w:after="120"/>
      </w:pPr>
      <w:r>
        <w:t xml:space="preserve">PDO(Points to Double Odds) 방식으로 확률을 점수로 스케일링하고, 동일 인원수 기준 A~E 5등급을 설계했습니다.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type="dxa" w:w="1500"/>
            <w:shd w:fill="E8EEF9" w:val="clear"/>
          </w:tcPr>
          <w:p>
            <w:r>
              <w:rPr>
                <w:b/>
                <w:bCs/>
              </w:rPr>
              <w:t xml:space="preserve">등급</w:t>
            </w:r>
          </w:p>
        </w:tc>
        <w:tc>
          <w:tcPr>
            <w:tcW w:type="dxa" w:w="2500"/>
            <w:shd w:fill="E8EEF9" w:val="clear"/>
          </w:tcPr>
          <w:p>
            <w:r>
              <w:rPr>
                <w:b/>
                <w:bCs/>
              </w:rPr>
              <w:t xml:space="preserve">인원수</w:t>
            </w:r>
          </w:p>
        </w:tc>
        <w:tc>
          <w:tcPr>
            <w:tcW w:type="dxa" w:w="2500"/>
            <w:shd w:fill="E8EEF9" w:val="clear"/>
          </w:tcPr>
          <w:p>
            <w:r>
              <w:rPr>
                <w:b/>
                <w:bCs/>
              </w:rPr>
              <w:t xml:space="preserve">평균 점수</w:t>
            </w:r>
          </w:p>
        </w:tc>
        <w:tc>
          <w:tcPr>
            <w:tcW w:type="dxa" w:w="2500"/>
            <w:shd w:fill="E8EEF9" w:val="clear"/>
          </w:tcPr>
          <w:p>
            <w:r>
              <w:rPr>
                <w:b/>
                <w:bCs/>
              </w:rPr>
              <w:t xml:space="preserve">실제 부도율</w:t>
            </w:r>
          </w:p>
        </w:tc>
      </w:tr>
      <w:tr>
        <w:tc>
          <w:tcPr>
            <w:tcW w:type="dxa" w:w="1500"/>
          </w:tcPr>
          <w:p>
            <w:r>
              <w:t xml:space="preserve">A</w:t>
            </w:r>
          </w:p>
        </w:tc>
        <w:tc>
          <w:tcPr>
            <w:tcW w:type="dxa" w:w="2500"/>
          </w:tcPr>
          <w:p>
            <w:r>
              <w:t xml:space="preserve">61,502</w:t>
            </w:r>
          </w:p>
        </w:tc>
        <w:tc>
          <w:tcPr>
            <w:tcW w:type="dxa" w:w="2500"/>
          </w:tcPr>
          <w:p>
            <w:r>
              <w:t xml:space="preserve">602.0</w:t>
            </w:r>
          </w:p>
        </w:tc>
        <w:tc>
          <w:tcPr>
            <w:tcW w:type="dxa" w:w="2500"/>
          </w:tcPr>
          <w:p>
            <w:r>
              <w:t xml:space="preserve">0.87%</w:t>
            </w:r>
          </w:p>
        </w:tc>
      </w:tr>
      <w:tr>
        <w:tc>
          <w:tcPr>
            <w:tcW w:type="dxa" w:w="1500"/>
          </w:tcPr>
          <w:p>
            <w:r>
              <w:t xml:space="preserve">B</w:t>
            </w:r>
          </w:p>
        </w:tc>
        <w:tc>
          <w:tcPr>
            <w:tcW w:type="dxa" w:w="2500"/>
          </w:tcPr>
          <w:p>
            <w:r>
              <w:t xml:space="preserve">61,502</w:t>
            </w:r>
          </w:p>
        </w:tc>
        <w:tc>
          <w:tcPr>
            <w:tcW w:type="dxa" w:w="2500"/>
          </w:tcPr>
          <w:p>
            <w:r>
              <w:t xml:space="preserve">584.4</w:t>
            </w:r>
          </w:p>
        </w:tc>
        <w:tc>
          <w:tcPr>
            <w:tcW w:type="dxa" w:w="2500"/>
          </w:tcPr>
          <w:p>
            <w:r>
              <w:t xml:space="preserve">2.26%</w:t>
            </w:r>
          </w:p>
        </w:tc>
      </w:tr>
      <w:tr>
        <w:tc>
          <w:tcPr>
            <w:tcW w:type="dxa" w:w="1500"/>
          </w:tcPr>
          <w:p>
            <w:r>
              <w:t xml:space="preserve">C</w:t>
            </w:r>
          </w:p>
        </w:tc>
        <w:tc>
          <w:tcPr>
            <w:tcW w:type="dxa" w:w="2500"/>
          </w:tcPr>
          <w:p>
            <w:r>
              <w:t xml:space="preserve">61,502</w:t>
            </w:r>
          </w:p>
        </w:tc>
        <w:tc>
          <w:tcPr>
            <w:tcW w:type="dxa" w:w="2500"/>
          </w:tcPr>
          <w:p>
            <w:r>
              <w:t xml:space="preserve">570.6</w:t>
            </w:r>
          </w:p>
        </w:tc>
        <w:tc>
          <w:tcPr>
            <w:tcW w:type="dxa" w:w="2500"/>
          </w:tcPr>
          <w:p>
            <w:r>
              <w:t xml:space="preserve">4.52%</w:t>
            </w:r>
          </w:p>
        </w:tc>
      </w:tr>
      <w:tr>
        <w:tc>
          <w:tcPr>
            <w:tcW w:type="dxa" w:w="1500"/>
          </w:tcPr>
          <w:p>
            <w:r>
              <w:t xml:space="preserve">D</w:t>
            </w:r>
          </w:p>
        </w:tc>
        <w:tc>
          <w:tcPr>
            <w:tcW w:type="dxa" w:w="2500"/>
          </w:tcPr>
          <w:p>
            <w:r>
              <w:t xml:space="preserve">61,502</w:t>
            </w:r>
          </w:p>
        </w:tc>
        <w:tc>
          <w:tcPr>
            <w:tcW w:type="dxa" w:w="2500"/>
          </w:tcPr>
          <w:p>
            <w:r>
              <w:t xml:space="preserve">554.8</w:t>
            </w:r>
          </w:p>
        </w:tc>
        <w:tc>
          <w:tcPr>
            <w:tcW w:type="dxa" w:w="2500"/>
          </w:tcPr>
          <w:p>
            <w:r>
              <w:t xml:space="preserve">8.86%</w:t>
            </w:r>
          </w:p>
        </w:tc>
      </w:tr>
      <w:tr>
        <w:tc>
          <w:tcPr>
            <w:tcW w:type="dxa" w:w="1500"/>
          </w:tcPr>
          <w:p>
            <w:r>
              <w:t xml:space="preserve">E</w:t>
            </w:r>
          </w:p>
        </w:tc>
        <w:tc>
          <w:tcPr>
            <w:tcW w:type="dxa" w:w="2500"/>
          </w:tcPr>
          <w:p>
            <w:r>
              <w:t xml:space="preserve">61,503</w:t>
            </w:r>
          </w:p>
        </w:tc>
        <w:tc>
          <w:tcPr>
            <w:tcW w:type="dxa" w:w="2500"/>
          </w:tcPr>
          <w:p>
            <w:r>
              <w:t xml:space="preserve">527.4</w:t>
            </w:r>
          </w:p>
        </w:tc>
        <w:tc>
          <w:tcPr>
            <w:tcW w:type="dxa" w:w="2500"/>
          </w:tcPr>
          <w:p>
            <w:r>
              <w:t xml:space="preserve">23.86%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A등급과 E등급의 실제 부도율 차이는 약 27.3배로, 등급 체계가 실제 위험도를 잘 분리하고 있음을 확인했습니다.</w:t>
      </w:r>
    </w:p>
    <w:p>
      <w:pPr>
        <w:pStyle w:val="Heading1"/>
        <w:spacing w:after="150" w:before="300"/>
      </w:pPr>
      <w:r>
        <w:t xml:space="preserve">5. 컷오프 시뮬레이션 인사이트</w:t>
      </w:r>
    </w:p>
    <w:p>
      <w:pPr>
        <w:spacing w:after="120"/>
      </w:pPr>
      <w:r>
        <w:t xml:space="preserve">컷오프 점수 570.6점(승인율 50%) 기준, 예상 부도율 2.04%, 예상 손실률 0.92%(LGD 45% 가정)로 나타났습니다. 승인율과 리스크 간 트레이드오프를 정량적으로 제시해, 심사 정책 결정에 바로 활용 가능한 형태로 구성했습니다.</w:t>
      </w:r>
    </w:p>
    <w:p>
      <w:pPr>
        <w:pStyle w:val="Heading1"/>
        <w:spacing w:after="150" w:before="300"/>
      </w:pPr>
      <w:r>
        <w:t xml:space="preserve">6. 모델 안정성 점검 (PSI)</w:t>
      </w:r>
    </w:p>
    <w:p>
      <w:pPr>
        <w:spacing w:after="120"/>
      </w:pPr>
      <w:r>
        <w:t xml:space="preserve">Train/Test 간 스코어 분포 PSI = 0.0003 (train↔test, 안정). 표준 해석 기준(&lt;0.1 안정)에 따라 모델이 데이터 분포 변화에 안정적임을 정량적으로 검증했습니다.</w:t>
      </w:r>
    </w:p>
    <w:p>
      <w:pPr>
        <w:pStyle w:val="Heading1"/>
        <w:spacing w:after="150" w:before="300"/>
      </w:pPr>
      <w:r>
        <w:t xml:space="preserve">7. 사용 기술 스택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Python: pandas, scikit-learn, LightGBM, SHAP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SQLite: WoE/IV, 모델 성능, 스코어, 컷오프 시뮬레이션, PSI 결과 저장 및 SQL 조회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Streamlit + Plotly: 컷오프 시뮬레이션 인터랙티브 대시보드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pytest: WoE/IV, 점수 스케일링 함수 단위테스트</w:t>
      </w:r>
    </w:p>
    <w:p>
      <w:pPr>
        <w:pStyle w:val="Heading1"/>
        <w:spacing w:after="150" w:before="300"/>
      </w:pPr>
      <w:r>
        <w:t xml:space="preserve">8. 자소서용 요약 문단 (복사해서 활용)</w:t>
      </w:r>
    </w:p>
    <w:p>
      <w:pPr>
        <w:pBdr>
          <w:left w:val="single" w:color="2A78D6" w:sz="12"/>
        </w:pBdr>
        <w:spacing w:after="100" w:before="100"/>
        <w:ind w:left="200"/>
      </w:pPr>
      <w:r>
        <w:t xml:space="preserve">Home Credit Default Risk 데이터 307,511건을 활용해 여신심사 스코어카드 파이프라인을 직접 설계·구현했습니다. WoE/IV 기반 변수 선별로 로지스틱 베이스라인 스코어카드(AUC 0.7428)를 만들고, LightGBM으로 고도화하여 AUC 0.7605(+1.77%p)를 달성했습니다. 단순 성능 비교가 아니라 사전에 정의한 채택 기준에 따라 챔피언 모델을 결정했고, PDO 점수 스케일링과 A-E 등급 설계, 컷오프 시뮬레이션으로 승인율-리스크 트레이드오프를 정량화했으며, PSI로 모델 안정성까지 점검해 실무 여신심사 프로세스를 엔드투엔드로 재현했습니다.</w:t>
      </w:r>
    </w:p>
    <w:p>
      <w:pPr>
        <w:pStyle w:val="Heading1"/>
        <w:spacing w:after="150" w:before="300"/>
      </w:pPr>
      <w:r>
        <w:t xml:space="preserve">9. 예상 면접 질문 &amp; 답변 포인트</w:t>
      </w:r>
    </w:p>
    <w:p>
      <w:pPr>
        <w:pStyle w:val="Heading2"/>
        <w:spacing w:after="100" w:before="200"/>
      </w:pPr>
      <w:r>
        <w:t xml:space="preserve">Q. 로지스틱 회귀와 LightGBM을 둘 다 만든 이유는?</w:t>
      </w:r>
    </w:p>
    <w:p>
      <w:pPr>
        <w:spacing w:after="120"/>
      </w:pPr>
      <w:r>
        <w:t xml:space="preserve">해석 가능성이 중요한 여신심사 도메인 특성상, 성능만으로 모델을 정하지 않고 '챔피언-챌린저' 방식으로 두 모델을 비교해 사전 정의된 기준으로 객관적으로 판단하기 위함입니다.</w:t>
      </w:r>
    </w:p>
    <w:p>
      <w:pPr>
        <w:pStyle w:val="Heading2"/>
        <w:spacing w:after="100" w:before="200"/>
      </w:pPr>
      <w:r>
        <w:t xml:space="preserve">Q. IV 기준으로 변수를 선택한 이유는?</w:t>
      </w:r>
    </w:p>
    <w:p>
      <w:pPr>
        <w:spacing w:after="120"/>
      </w:pPr>
      <w:r>
        <w:t xml:space="preserve">IV&lt;0.02는 예측력이 거의 없고, IV&gt;0.5는 데이터 누수(leakage) 의심 신호라는 스코어카드 업계 표준 기준을 적용해 변수를 객관적으로 스크리닝했습니다.</w:t>
      </w:r>
    </w:p>
    <w:p>
      <w:pPr>
        <w:pStyle w:val="Heading2"/>
        <w:spacing w:after="100" w:before="200"/>
      </w:pPr>
      <w:r>
        <w:t xml:space="preserve">Q. PSI는 왜 중요한가요?</w:t>
      </w:r>
    </w:p>
    <w:p>
      <w:pPr>
        <w:spacing w:after="120"/>
      </w:pPr>
      <w:r>
        <w:t xml:space="preserve">모델이 배포된 이후 시간이 지나며 입력 데이터 분포가 변하면(Population Shift) 성능이 저하될 수 있어, PSI로 이 변화를 정량적으로 모니터링해 재학습 시점을 판단하는 데 씁니다.</w:t>
      </w:r>
    </w:p>
    <w:p>
      <w:pPr>
        <w:pStyle w:val="Heading2"/>
        <w:spacing w:after="100" w:before="200"/>
      </w:pPr>
      <w:r>
        <w:t xml:space="preserve">Q. 실제 여신심사에서 이 결과를 어떻게 활용할 수 있나요?</w:t>
      </w:r>
    </w:p>
    <w:p>
      <w:pPr>
        <w:spacing w:after="120"/>
      </w:pPr>
      <w:r>
        <w:t xml:space="preserve">컷오프 시뮬레이션 표를 통해 원하는 승인율에서의 예상 부도율/손실률을 미리 파악할 수 있어, 리스크 허용 수준에 맞는 컷오프를 데이터 기반으로 설정하는 데 직접 활용할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2026-09-04T07:29:03.556Z</dcterms:created>
  <dcterms:modified xsi:type="dcterms:W3CDTF">2026-09-04T07:29:03.557Z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