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56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买入条件（需同时满足）：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日K线相比昨日不再创新低，即：当日最低价大于或等于昨日最低价。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MACD红柱增大或绿柱缩短，即：当日MACD柱值大于昨日MACD柱值10%以上。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卖出条件（需同时满足）：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日K线相比昨日不再创新高，即：当日最高价小于或等于昨日最高价。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MACD红柱缩短或绿柱增大，即：当日MACD柱值小于昨日MACD柱值10%以上。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几种例外情况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以上买入和卖出条件是一般情况，但有几个例外情况可以无视以上条件直接执行：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如果当日开盘价高于昨日收盘价，并且当日最高价高于昨日最高价，但为阴线收盘（当日收盘价低于开盘价），且MACD柱值比昨日没有上涨超过10%</w:t>
      </w:r>
      <w:r>
        <w:rPr>
          <w:rStyle w:val="5"/>
          <w:rFonts w:hint="eastAsia"/>
          <w:sz w:val="28"/>
          <w:szCs w:val="36"/>
          <w:lang w:val="en-US" w:eastAsia="zh-CN"/>
        </w:rPr>
        <w:footnoteReference w:id="0"/>
      </w:r>
      <w:r>
        <w:rPr>
          <w:rFonts w:hint="eastAsia"/>
          <w:sz w:val="28"/>
          <w:szCs w:val="36"/>
          <w:lang w:val="en-US" w:eastAsia="zh-CN"/>
        </w:rPr>
        <w:t>以上，看空（有仓位的全部卖出，无仓位的继续保持空仓）。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当日最低价虽然低于昨日最低价，但是MACD柱值比昨日下降少于30%，且K线为阳线收盘，看多（空仓时可买入，有仓位时可加仓）。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日股价既创新高也创新低，即：最低价比昨日最低价更低，但同时最高价也比昨日最高价更高，此时如K线为阳线收盘且MACD柱值比昨日下降少于30%，看多（有仓位的保持，无仓位的可买入）；否则，看空（有仓位的减仓，无仓位的继续保持空仓）。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买入后三日内</w:t>
      </w:r>
      <w:r>
        <w:rPr>
          <w:rStyle w:val="5"/>
          <w:rFonts w:hint="eastAsia"/>
          <w:sz w:val="28"/>
          <w:szCs w:val="36"/>
          <w:lang w:val="en-US" w:eastAsia="zh-CN"/>
        </w:rPr>
        <w:footnoteReference w:id="1"/>
      </w:r>
      <w:r>
        <w:rPr>
          <w:rFonts w:hint="eastAsia"/>
          <w:sz w:val="28"/>
          <w:szCs w:val="36"/>
          <w:lang w:val="en-US" w:eastAsia="zh-CN"/>
        </w:rPr>
        <w:t>不卖出（即使满足一般卖出条件），除非：三日内的最低价已低于</w:t>
      </w:r>
      <w:r>
        <w:rPr>
          <w:rFonts w:hint="eastAsia"/>
          <w:sz w:val="28"/>
          <w:szCs w:val="36"/>
          <w:u w:val="single"/>
          <w:lang w:val="en-US" w:eastAsia="zh-CN"/>
        </w:rPr>
        <w:t>离买入时最近的最低价</w:t>
      </w:r>
      <w:r>
        <w:rPr>
          <w:rStyle w:val="5"/>
          <w:rFonts w:hint="eastAsia"/>
          <w:sz w:val="28"/>
          <w:szCs w:val="36"/>
          <w:lang w:val="en-US" w:eastAsia="zh-CN"/>
        </w:rPr>
        <w:footnoteReference w:id="2"/>
      </w:r>
      <w:r>
        <w:rPr>
          <w:rFonts w:hint="eastAsia"/>
          <w:sz w:val="28"/>
          <w:szCs w:val="36"/>
          <w:lang w:val="en-US" w:eastAsia="zh-CN"/>
        </w:rPr>
        <w:t>，同时该日MACD柱值小于前一日的MACD柱值30%以上。三日后按一般卖出条件判断。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卖出后三日内不买入（即使满足一般买入条件），除非：三日内的最高价已超过</w:t>
      </w:r>
      <w:r>
        <w:rPr>
          <w:rFonts w:hint="eastAsia"/>
          <w:sz w:val="28"/>
          <w:szCs w:val="36"/>
          <w:u w:val="single"/>
          <w:lang w:val="en-US" w:eastAsia="zh-CN"/>
        </w:rPr>
        <w:t>离卖出时最近的最高价</w:t>
      </w:r>
      <w:r>
        <w:rPr>
          <w:rStyle w:val="5"/>
          <w:rFonts w:hint="eastAsia"/>
          <w:sz w:val="28"/>
          <w:szCs w:val="36"/>
          <w:lang w:val="en-US" w:eastAsia="zh-CN"/>
        </w:rPr>
        <w:footnoteReference w:id="3"/>
      </w:r>
      <w:r>
        <w:rPr>
          <w:rFonts w:hint="eastAsia"/>
          <w:sz w:val="28"/>
          <w:szCs w:val="36"/>
          <w:lang w:val="en-US" w:eastAsia="zh-CN"/>
        </w:rPr>
        <w:t>，同时该日MACD柱值大于前一日MACD柱值30%以上。三日后按一般买入条件判断。</w:t>
      </w:r>
    </w:p>
    <w:p>
      <w:pPr>
        <w:numPr>
          <w:ilvl w:val="0"/>
          <w:numId w:val="0"/>
        </w:numPr>
        <w:ind w:left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（4）和（5）均为避免频繁买卖的过滤条件。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当（1）、（2）、（3）和（4）、（5）同时出现时，（1）-（3）的优先级高于（4）-（5），即先按（1）-（3）的条件执行。</w:t>
      </w:r>
    </w:p>
    <w:p>
      <w:pPr>
        <w:numPr>
          <w:ilvl w:val="0"/>
          <w:numId w:val="1"/>
        </w:numPr>
        <w:ind w:left="56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强制止损条件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对单只股票下注资金损失超过X%时（注意不是全部资金，而是投在单只股票上的以买入价计算的持仓成本），应在达到止损点的当日全部卖出（在交易时间以虚拟收盘价判断）。X值对应不同板块而有所不同，通常取该板块日涨停最高比例。比如主板股票取10%，创业板/科创板股票取20%，北交所股票取30%，其他股票最高不超过30%等。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强制止损的原因是我国股票市场易跌难涨，股市涨跌是不对称的。如果一个涨停都不能回本的话，说明该交易策略已经对该股票的该段时期失效，不能再继续使用。失效的原因有很多，比如庄家更换手法变化，或者太多人用类似策略交易，或者消息噪声过于密集等。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本策略暂不设强制止盈，止盈还是按卖出条件判断。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增补运用规则：</w:t>
      </w:r>
    </w:p>
    <w:p>
      <w:pPr>
        <w:numPr>
          <w:ilvl w:val="0"/>
          <w:numId w:val="5"/>
        </w:num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当最近一个“短期最低点”高于（或等于）前一个“短期最低点”时，股票才能进入策略（一）股票库及实际买卖。</w:t>
      </w:r>
      <w:r>
        <w:rPr>
          <w:rFonts w:hint="eastAsia"/>
          <w:color w:val="FF0000"/>
          <w:sz w:val="28"/>
          <w:szCs w:val="28"/>
          <w:lang w:val="en-US" w:eastAsia="zh-CN"/>
        </w:rPr>
        <w:t>或者，虽然最近一个“短期最低点”低于前一个“短期最低点”，但是当前股价已经突破最近的“短期最高点”时，也可以进入策略（一）股票库及实际买卖。</w:t>
      </w:r>
    </w:p>
    <w:p>
      <w:pPr>
        <w:numPr>
          <w:ilvl w:val="0"/>
          <w:numId w:val="5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以下任一种情况，即使满足策略（一）的买入条件也不买入。已经有先手买入的，应尽快卖出（即使不满足卖出条件，也应立即卖出）：</w:t>
      </w:r>
    </w:p>
    <w:p>
      <w:pPr>
        <w:numPr>
          <w:ilvl w:val="0"/>
          <w:numId w:val="6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当最近一个“短期最低点”低于前一个“短期最低点”，且前一个“短期最低点”又低于再前一个“短期最低点”时</w:t>
      </w:r>
      <w:r>
        <w:rPr>
          <w:rStyle w:val="5"/>
          <w:rFonts w:hint="eastAsia"/>
          <w:sz w:val="28"/>
          <w:szCs w:val="28"/>
          <w:lang w:val="en-US" w:eastAsia="zh-CN"/>
        </w:rPr>
        <w:footnoteReference w:id="4"/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6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虽然前一个“短期最低点”高于更前一个“短期最低点”，但是最近一个“短期最低点”已经跌破前两个“短期最低点”。如上图中虽然l点高于k点，但是m点已经跌破了k点。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当上述规则1和2矛盾时，优先执行1。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上述增补规则1和2与策略（一）第6页的例外情况（2）、（3）、（4）、（5）冲突时，例外情况（2）、（3）的优先级最高，（4）、（5）的优先级最低。即优先执行例外情况（2）、（3），其次再执行上述增补规则1、2，最后再执行例外情况（4）、（5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0">
    <w:p>
      <w:r>
        <w:separator/>
      </w:r>
    </w:p>
  </w:footnote>
  <w:footnote w:type="continuationSeparator" w:id="11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10%-30%之间，根据股性不同而有所差异。</w:t>
      </w:r>
    </w:p>
  </w:footnote>
  <w:footnote w:id="1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三日”不含买入当日，下同。</w:t>
      </w:r>
    </w:p>
  </w:footnote>
  <w:footnote w:id="2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样设置的原理是：假设买入前一日为短期波段的最低点，因此我们在其后一日买入。但是如果价格跌破了这个假定的最低点，那么说明它并不是最低点，未来可能还有更低点，因此跌破了就要卖掉。这是一种波段特征，也是我们设定条件的理论依据。同时我们设定了MACD的过滤条件，也是为了进一步确认原来假定的最低点被跌破，那么就应该做空。</w:t>
      </w:r>
    </w:p>
  </w:footnote>
  <w:footnote w:id="3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样设置的原理是：假设卖出前一日为短期波段的最高点，因此我们在其后一日卖出。但是如果价格超过了这个假定的最高点，那么说明它并不是最高点，未来可能还有更高点，因此涨过了就要买入。这是一种波段特征，也是我们设定条件的理论依据。同时我们设定了MACD的过滤条件，也是为了进一步确认原来假定的最高点被涨超，那么就应该做多。</w:t>
      </w:r>
    </w:p>
  </w:footnote>
  <w:footnote w:id="4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即：连续两次短期最低点低于上一个最低点，说明已经形成下降趋势，此时最好不要介入交易。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29AA8"/>
    <w:multiLevelType w:val="singleLevel"/>
    <w:tmpl w:val="A8F29AA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59DA3F7"/>
    <w:multiLevelType w:val="singleLevel"/>
    <w:tmpl w:val="E59DA3F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96C901B"/>
    <w:multiLevelType w:val="singleLevel"/>
    <w:tmpl w:val="296C901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3472D39"/>
    <w:multiLevelType w:val="singleLevel"/>
    <w:tmpl w:val="33472D3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EBF3538"/>
    <w:multiLevelType w:val="singleLevel"/>
    <w:tmpl w:val="3EBF3538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5">
    <w:nsid w:val="52B4CEE9"/>
    <w:multiLevelType w:val="singleLevel"/>
    <w:tmpl w:val="52B4CE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10"/>
    <w:footnote w:id="1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WYwZWRkNzRiZWVhMGVkZDdjNjc3MWE2ZGEyMWYifQ=="/>
  </w:docVars>
  <w:rsids>
    <w:rsidRoot w:val="00000000"/>
    <w:rsid w:val="425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雁回</cp:lastModifiedBy>
  <dcterms:modified xsi:type="dcterms:W3CDTF">2022-11-05T07:04:16Z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84EDAAE9C9D945C7AA2185196ACADD75</vt:lpwstr>
  </property>
</Properties>
</file>