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买卖条件设定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根据上面案例演示结果，我们设定买卖条件如下：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买入条件：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1、触及下沿线情况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0" w:leftChars="0" w:firstLine="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股票最低价已经触及布林线下沿线；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560" w:firstLine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在（1）成立的前提下，观察6日RSI指标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0"/>
      </w:r>
      <w:r>
        <w:rPr>
          <w:rFonts w:hint="eastAsia"/>
          <w:sz w:val="28"/>
          <w:szCs w:val="36"/>
          <w:lang w:val="en-US" w:eastAsia="zh-CN"/>
        </w:rPr>
        <w:t>，在出现第一个RSI-6大于上一日10%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"/>
      </w:r>
      <w:r>
        <w:rPr>
          <w:rFonts w:hint="eastAsia"/>
          <w:sz w:val="28"/>
          <w:szCs w:val="36"/>
          <w:lang w:val="en-US" w:eastAsia="zh-CN"/>
        </w:rPr>
        <w:t>时买入。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2、触及中界线情况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</w:t>
      </w:r>
      <w:r>
        <w:rPr>
          <w:rFonts w:hint="eastAsia"/>
          <w:color w:val="FF0000"/>
          <w:sz w:val="28"/>
          <w:szCs w:val="36"/>
          <w:lang w:val="en-US" w:eastAsia="zh-CN"/>
        </w:rPr>
        <w:t>当股价从下往上越过中界线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2"/>
      </w:r>
      <w:r>
        <w:rPr>
          <w:rFonts w:hint="eastAsia"/>
          <w:sz w:val="28"/>
          <w:szCs w:val="36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（2）同时收盘为阳线时买入（或加仓）；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（3）如果三日内两次以上符合上述（1）-（2）条件，每次穿越的时候交易要附加RSI条件：三日内从上往下穿越RSI要增长负10%、交易后再次三日内从下往上穿越RSI要增长15%……依此类推。</w:t>
      </w: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（二）卖出条件：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1、触及上沿线情况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（1）股票最高价已经触及布林线上沿线；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（2）在（1）成立的前提下，观察6日RSI指标，在出现第一个RSI-6小于上一日10%时卖出。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2、触及中界线情况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（1）当</w:t>
      </w:r>
      <w:r>
        <w:rPr>
          <w:rFonts w:hint="eastAsia"/>
          <w:color w:val="FF0000"/>
          <w:sz w:val="28"/>
          <w:szCs w:val="36"/>
          <w:lang w:val="en-US" w:eastAsia="zh-CN"/>
        </w:rPr>
        <w:t>股价从上往下越过中界线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3"/>
      </w:r>
      <w:r>
        <w:rPr>
          <w:rFonts w:hint="eastAsia"/>
          <w:sz w:val="28"/>
          <w:szCs w:val="36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（2）同时收盘为阴线时卖出（或减仓）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（3）如果三日内两次以上符合上述（1）-（2）条件，每次穿越的时候交易要附加RSI条件：三日内又从下往上穿越RSI要增长10%、交易后再次三日内从上往下穿越RSI要增长15%才能交易……依此类推。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（三）特殊情况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1、股价触及上沿线后又离线后下降三日以上，但未达中界线又向上折返再次触及上沿线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4"/>
      </w:r>
      <w:r>
        <w:rPr>
          <w:rFonts w:hint="eastAsia"/>
          <w:sz w:val="28"/>
          <w:szCs w:val="36"/>
          <w:lang w:val="en-US" w:eastAsia="zh-CN"/>
        </w:rPr>
        <w:t>，此时在再次触及上沿线当日买入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5"/>
      </w:r>
      <w:r>
        <w:rPr>
          <w:rFonts w:hint="eastAsia"/>
          <w:sz w:val="28"/>
          <w:szCs w:val="36"/>
          <w:lang w:val="en-US" w:eastAsia="zh-CN"/>
        </w:rPr>
        <w:t>（此时如RSI大于80则不买，待仍在上沿线上且RSI小于80可买入，买入后再按正常卖出条件卖出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6"/>
      </w:r>
      <w:r>
        <w:rPr>
          <w:rFonts w:hint="eastAsia"/>
          <w:sz w:val="28"/>
          <w:szCs w:val="36"/>
          <w:lang w:val="en-US" w:eastAsia="zh-CN"/>
        </w:rPr>
        <w:t>，或大于80或下穿中线卖出）。如果后面股价还是下降不到中界线，则一直持仓不卖，直到股价以阴线收盘跌过中界线时再卖出，或者RSI-6超过80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7"/>
      </w:r>
      <w:r>
        <w:rPr>
          <w:rFonts w:hint="eastAsia"/>
          <w:sz w:val="28"/>
          <w:szCs w:val="36"/>
          <w:lang w:val="en-US" w:eastAsia="zh-CN"/>
        </w:rPr>
        <w:t>卖出，或者按强制止损或止盈条件卖出。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2、股价触及下沿线后又离线后上升三日以上，但未达中界线又向下折返再次触及下沿线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8"/>
      </w:r>
      <w:r>
        <w:rPr>
          <w:rFonts w:hint="eastAsia"/>
          <w:sz w:val="28"/>
          <w:szCs w:val="36"/>
          <w:lang w:val="en-US" w:eastAsia="zh-CN"/>
        </w:rPr>
        <w:t>，此时在再次触及下沿线当日卖出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9"/>
      </w:r>
      <w:r>
        <w:rPr>
          <w:rFonts w:hint="eastAsia"/>
          <w:sz w:val="28"/>
          <w:szCs w:val="36"/>
          <w:lang w:val="en-US" w:eastAsia="zh-CN"/>
        </w:rPr>
        <w:t>（此时如RSI大于20卖出，待RSI小于20或上穿中线再买；如小于20则保留，如果一直再小于20可加仓）。如果后面股价还是上升不到中界线，则一直空仓处理，直到可按正常买入条件买入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0"/>
      </w:r>
      <w:r>
        <w:rPr>
          <w:rFonts w:hint="eastAsia"/>
          <w:sz w:val="28"/>
          <w:szCs w:val="36"/>
          <w:lang w:val="en-US" w:eastAsia="zh-CN"/>
        </w:rPr>
        <w:t>，或股价以阳线收盘升过中界线时再买入，或者RSI-6下降到20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1"/>
      </w:r>
      <w:r>
        <w:rPr>
          <w:rFonts w:hint="eastAsia"/>
          <w:sz w:val="28"/>
          <w:szCs w:val="36"/>
          <w:lang w:val="en-US" w:eastAsia="zh-CN"/>
        </w:rPr>
        <w:t>以下再买入。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3、如果当日股票最高价触及了上沿、最低价也触及了下沿，此时如何操作？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（1）如果是阳线收盘，持仓的继续持有，空仓的按越过中界线条件买入（见买入条件2）。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default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（2）如果是阴线收盘，空仓的继续空仓，持仓的按越过中界线条件卖出（见卖出条件2）。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三、交易时间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同策略（一）。在实盘交易时，如果是按日交易，在每日收盘前15分钟发出提示交易信号；如果是按分钟级别交易，则每只股票至少在K线收盘前留够10秒提示时间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2"/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在自动回测或模拟盘时则默认全部按收盘价瞬间交易。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15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四、强制止损及止盈条件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强制止损条件同策略（一）。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一般情况不设强制止盈，止盈按卖出条件操作。遇到上文特殊情况1时，可以手动止盈，止盈条件建议为：RSI-6大于65时，遇到第一个RSI-6下降或遇到第一个不过昨日高点的K线时（两者看孰早）止盈。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15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加减仓条件（可选，如不考虑加减仓则默认每次都全仓交易）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5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加减仓时机：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当股价从下往上越过中界线且阳线收盘时可以加仓；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当股价从上往下越过中界线且阴线收盘时则减仓。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firstLine="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加减仓数量：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" w:leftChars="7" w:firstLine="579" w:firstLineChars="207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使用均线位置条件及凯利公式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3"/>
      </w:r>
      <w:r>
        <w:rPr>
          <w:rFonts w:hint="eastAsia"/>
          <w:sz w:val="28"/>
          <w:szCs w:val="36"/>
          <w:lang w:val="en-US" w:eastAsia="zh-CN"/>
        </w:rPr>
        <w:t>，每次加仓数量为剩余资金的2p-1，减仓数量为所持有可卖仓位的2p-1。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15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几点说明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5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用历史数据回测时默认不考虑加减仓，每次都默认为全仓交易。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5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回测是否考虑手续费和滑点，建议给人机交互接口自己选择。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" w:leftChars="7" w:firstLine="299" w:firstLineChars="107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同策略（一）一样，策略的绩效可以通过收益率、夏普比率、最大回撤比率三个指标来衡量。绩效总分=收益率得分*40%+夏普比率得分*40%+最大回撤率得分*20%。得分建议如下取值：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14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收益率得分=策略期间收益率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-</w:t>
      </w:r>
      <w:r>
        <w:rPr>
          <w:rFonts w:hint="eastAsia"/>
          <w:sz w:val="28"/>
          <w:szCs w:val="36"/>
          <w:lang w:val="en-US" w:eastAsia="zh-CN"/>
        </w:rPr>
        <w:t>股票期间涨跌幅百分比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14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夏普比率得分=夏普比率/3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14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最大回撤得分=1-最大回撤率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4"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以上结果均取两位小数四舍五入计算，加权平均后得绩效总分。其中收益率得分和夏普比率得分有可能小于0。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" w:leftChars="7" w:firstLine="299" w:firstLineChars="107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回测绩效的好坏与所选择的参数有关，比如开始时点、RSI变化比率、RSI自身参数、布林线自身参数、K线时间单位等，所以这些参数最好都可以做交互接口供用户调节选择。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" w:leftChars="7" w:firstLine="299" w:firstLineChars="107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自动回测或模拟交易情况下，如果同一时间取到多个符合买卖条件的股票，可设置排序条件，按排序从先到后交易。比如策略一模拟交易时，总资金只够分配10只股票的，但是当日出现了50只符合条件的股票，怎么买呢？排序条件可以设置为：当日MACD值与昨日相比增长率按从大到小排序，取前10只交易。如某只股票已经清仓卖出的，资金退回到账户，重新按排序选择最前的交易；未清仓继续保留持仓，总持仓一直保持在10只。同理，策略二的排序条件可以设置为当日RSI-6与昨日相比增长率从大到小排序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" w:leftChars="7" w:firstLine="299" w:firstLineChars="107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我国股市只支持T+1交易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5"/>
      </w:r>
      <w:r>
        <w:rPr>
          <w:rFonts w:hint="eastAsia"/>
          <w:sz w:val="28"/>
          <w:szCs w:val="36"/>
          <w:lang w:val="en-US" w:eastAsia="zh-CN"/>
        </w:rPr>
        <w:t>，也不支持空仓下做空交易。所以如果采用全仓交易法的话，日内的时间单位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6"/>
      </w:r>
      <w:r>
        <w:rPr>
          <w:rFonts w:hint="eastAsia"/>
          <w:sz w:val="28"/>
          <w:szCs w:val="36"/>
          <w:lang w:val="en-US" w:eastAsia="zh-CN"/>
        </w:rPr>
        <w:t>是不能买卖两次以上的。回测日内时间单位时建议采用加减仓法，而且每次买卖要注意不与T+1原则违背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7"/>
      </w:r>
      <w:r>
        <w:rPr>
          <w:rFonts w:hint="eastAsia"/>
          <w:sz w:val="28"/>
          <w:szCs w:val="36"/>
          <w:lang w:val="en-US" w:eastAsia="zh-CN"/>
        </w:rPr>
        <w:t>。所有策略回测时都要注意这个问题。</w:t>
      </w:r>
    </w:p>
    <w:p/>
    <w:sectPr>
      <w:footerReference r:id="rId4" w:type="default"/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36">
    <w:p>
      <w:r>
        <w:separator/>
      </w:r>
    </w:p>
  </w:footnote>
  <w:footnote w:type="continuationSeparator" w:id="37">
    <w:p>
      <w:r>
        <w:continuationSeparator/>
      </w:r>
    </w:p>
  </w:footnote>
  <w:footnote w:id="0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包含当天指标，如果当天指标就满足就当天交易。下同。</w:t>
      </w:r>
    </w:p>
  </w:footnote>
  <w:footnote w:id="1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这里可以提供人机交互接口自行设定，比如0、10%、20%等。比率越大承担的风险越大当然收益可能也越大。</w:t>
      </w:r>
    </w:p>
  </w:footnote>
  <w:footnote w:id="2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最高价大于中界线且阳线收盘都算此种情况，比如跳空高开直接越过中界线且阳线收盘。但是要注意从下往上穿越中界线的含义是：前一根K线收盘价在下半部，且前一根K线的最高价低于当日K线最高价。如不满足，则考察下一日K线和前一根K线的比较是否满足。</w:t>
      </w:r>
    </w:p>
  </w:footnote>
  <w:footnote w:id="3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最低价小于中界线且阴线收盘都算此种情况，比如跳空低开直接越过了中界线且阴线收盘。但是要注意从上往下穿越中界线的含义是：前一根K线收盘价在上半部，且前一根K线的最低价高于当日K线最低价。如不满足，则考察下一日K线和前一根K线的比较是否满足。</w:t>
      </w:r>
    </w:p>
  </w:footnote>
  <w:footnote w:id="4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两次触及上沿线之间至少间隔3日，如果是少于3日连续触及上沿线则不属于这个情况。少于3日再次触及上沿线，则RSI要每次比前次增加1.5倍才能卖出操作，或者RSI80以上卖出。</w:t>
      </w:r>
    </w:p>
  </w:footnote>
  <w:footnote w:id="5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如果此时手里有仓位，全仓交易法下则不操作，加减仓交易法下按加减仓数量操作。</w:t>
      </w:r>
    </w:p>
  </w:footnote>
  <w:footnote w:id="6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此时RSI变化率最好大于正常情况的两倍以上。</w:t>
      </w:r>
    </w:p>
  </w:footnote>
  <w:footnote w:id="7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80-100之间自行设定，视股票强势与否</w:t>
      </w:r>
    </w:p>
  </w:footnote>
  <w:footnote w:id="8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两次触及下沿线之间至少间隔3日，如果是少于3日连续触及下沿线则不属于这个情况。少于3日再次触及下沿线，则RSI要每次比前次增加1.5倍才能买入操作，或者RSI20以下买入。</w:t>
      </w:r>
    </w:p>
  </w:footnote>
  <w:footnote w:id="9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如果此时手里没有仓位则不操作。</w:t>
      </w:r>
    </w:p>
  </w:footnote>
  <w:footnote w:id="10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此时RSI变化率最好大于正常情况的两倍以上。</w:t>
      </w:r>
    </w:p>
  </w:footnote>
  <w:footnote w:id="11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0-20自行设定，视股票情况</w:t>
      </w:r>
    </w:p>
  </w:footnote>
  <w:footnote w:id="12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提示信号出现的时间建议可以有交互接口自行调节。</w:t>
      </w:r>
    </w:p>
  </w:footnote>
  <w:footnote w:id="13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见策略（一）中有关加仓策略。</w:t>
      </w:r>
    </w:p>
  </w:footnote>
  <w:footnote w:id="14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最大回撤率以0-100%之间的正数表示。</w:t>
      </w:r>
    </w:p>
  </w:footnote>
  <w:footnote w:id="15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T+1就是隔日交易法则。当天买入的股票当天不能卖出，必须下一日后才能卖出。但当天卖出的股票当天可以再次买入，不过再次买入后就不能当天再次卖出，要等下一日才能卖。</w:t>
      </w:r>
    </w:p>
  </w:footnote>
  <w:footnote w:id="16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日内时间单位就是K线按120分钟、60分钟、30分钟、10分钟、1分钟等小于1日的时间为单位。</w:t>
      </w:r>
    </w:p>
  </w:footnote>
  <w:footnote w:id="17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每个交易日内最多只能卖持仓可卖部分的2p-1，而不是持仓部分的2p-1。软件中要加这个限定条件。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EFC86"/>
    <w:multiLevelType w:val="singleLevel"/>
    <w:tmpl w:val="9A5EFC8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A7E837A"/>
    <w:multiLevelType w:val="singleLevel"/>
    <w:tmpl w:val="BA7E837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1E48D51"/>
    <w:multiLevelType w:val="singleLevel"/>
    <w:tmpl w:val="C1E48D5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573253"/>
    <w:multiLevelType w:val="singleLevel"/>
    <w:tmpl w:val="D257325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2544DFE9"/>
    <w:multiLevelType w:val="singleLevel"/>
    <w:tmpl w:val="2544DFE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285C18E"/>
    <w:multiLevelType w:val="singleLevel"/>
    <w:tmpl w:val="3285C18E"/>
    <w:lvl w:ilvl="0" w:tentative="0">
      <w:start w:val="1"/>
      <w:numFmt w:val="decimal"/>
      <w:suff w:val="nothing"/>
      <w:lvlText w:val="（%1）"/>
      <w:lvlJc w:val="left"/>
      <w:pPr>
        <w:ind w:left="560" w:leftChars="0" w:firstLine="0" w:firstLineChars="0"/>
      </w:pPr>
    </w:lvl>
  </w:abstractNum>
  <w:abstractNum w:abstractNumId="6">
    <w:nsid w:val="5B3FE124"/>
    <w:multiLevelType w:val="singleLevel"/>
    <w:tmpl w:val="5B3FE12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3D8CEA3"/>
    <w:multiLevelType w:val="singleLevel"/>
    <w:tmpl w:val="73D8CEA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36"/>
    <w:footnote w:id="3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jMWYwZWRkNzRiZWVhMGVkZDdjNjc3MWE2ZGEyMWYifQ=="/>
  </w:docVars>
  <w:rsids>
    <w:rsidRoot w:val="00000000"/>
    <w:rsid w:val="09697438"/>
    <w:rsid w:val="6D2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1873</Words>
  <Characters>1984</Characters>
  <Lines>0</Lines>
  <Paragraphs>0</Paragraphs>
  <TotalTime>256</TotalTime>
  <ScaleCrop>false</ScaleCrop>
  <LinksUpToDate>false</LinksUpToDate>
  <CharactersWithSpaces>1987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雁回</cp:lastModifiedBy>
  <dcterms:modified xsi:type="dcterms:W3CDTF">2022-11-12T12:27:40Z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53441A7AE1584E70986E6CB6248828EF</vt:lpwstr>
  </property>
</Properties>
</file>