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BFC36" w14:textId="5ACA427F" w:rsidR="006C799B" w:rsidRPr="00200D27" w:rsidRDefault="00200D27" w:rsidP="00200D27">
      <w:pPr>
        <w:jc w:val="center"/>
        <w:rPr>
          <w:rFonts w:ascii="Bookman Old Style" w:hAnsi="Bookman Old Style"/>
          <w:b/>
          <w:bCs/>
          <w:sz w:val="52"/>
          <w:szCs w:val="52"/>
          <w:u w:val="single"/>
        </w:rPr>
      </w:pPr>
      <w:r w:rsidRPr="00200D27">
        <w:rPr>
          <w:rFonts w:ascii="Bookman Old Style" w:hAnsi="Bookman Old Style"/>
          <w:b/>
          <w:bCs/>
          <w:sz w:val="52"/>
          <w:szCs w:val="52"/>
          <w:u w:val="single"/>
        </w:rPr>
        <w:t>TASK-2</w:t>
      </w:r>
    </w:p>
    <w:tbl>
      <w:tblPr>
        <w:tblStyle w:val="GridTable4-Accent3"/>
        <w:tblpPr w:leftFromText="180" w:rightFromText="180" w:vertAnchor="page" w:horzAnchor="margin" w:tblpXSpec="center" w:tblpY="1516"/>
        <w:tblW w:w="11340" w:type="dxa"/>
        <w:tblLook w:val="04A0" w:firstRow="1" w:lastRow="0" w:firstColumn="1" w:lastColumn="0" w:noHBand="0" w:noVBand="1"/>
      </w:tblPr>
      <w:tblGrid>
        <w:gridCol w:w="3544"/>
        <w:gridCol w:w="3898"/>
        <w:gridCol w:w="3898"/>
      </w:tblGrid>
      <w:tr w:rsidR="00200D27" w:rsidRPr="006C799B" w14:paraId="69999629" w14:textId="77777777" w:rsidTr="00200D2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544" w:type="dxa"/>
          </w:tcPr>
          <w:tbl>
            <w:tblPr>
              <w:tblW w:w="0" w:type="auto"/>
              <w:jc w:val="center"/>
              <w:tblCellSpacing w:w="15" w:type="dxa"/>
              <w:tblLook w:val="04A0" w:firstRow="1" w:lastRow="0" w:firstColumn="1" w:lastColumn="0" w:noHBand="0" w:noVBand="1"/>
            </w:tblPr>
            <w:tblGrid>
              <w:gridCol w:w="2061"/>
            </w:tblGrid>
            <w:tr w:rsidR="00200D27" w:rsidRPr="006C799B" w14:paraId="3A4DB9B7" w14:textId="77777777" w:rsidTr="003D482D">
              <w:trPr>
                <w:tblCellSpacing w:w="15" w:type="dxa"/>
                <w:jc w:val="center"/>
              </w:trPr>
              <w:tc>
                <w:tcPr>
                  <w:tcW w:w="0" w:type="auto"/>
                  <w:tcMar>
                    <w:top w:w="15" w:type="dxa"/>
                    <w:left w:w="15" w:type="dxa"/>
                    <w:bottom w:w="15" w:type="dxa"/>
                    <w:right w:w="15" w:type="dxa"/>
                  </w:tcMar>
                  <w:vAlign w:val="center"/>
                  <w:hideMark/>
                </w:tcPr>
                <w:p w14:paraId="524BA034" w14:textId="77777777" w:rsidR="00200D27" w:rsidRPr="005B2901" w:rsidRDefault="00200D27" w:rsidP="00200D27">
                  <w:pPr>
                    <w:framePr w:hSpace="180" w:wrap="around" w:vAnchor="page" w:hAnchor="margin" w:xAlign="center" w:y="1516"/>
                    <w:jc w:val="center"/>
                    <w:rPr>
                      <w:b/>
                      <w:bCs/>
                      <w:sz w:val="24"/>
                      <w:szCs w:val="24"/>
                      <w:u w:val="single"/>
                    </w:rPr>
                  </w:pPr>
                  <w:r w:rsidRPr="005B2901">
                    <w:rPr>
                      <w:b/>
                      <w:bCs/>
                      <w:sz w:val="24"/>
                      <w:szCs w:val="24"/>
                      <w:u w:val="single"/>
                    </w:rPr>
                    <w:t>Application Domain</w:t>
                  </w:r>
                </w:p>
              </w:tc>
            </w:tr>
          </w:tbl>
          <w:p w14:paraId="52DA7E9E" w14:textId="77777777" w:rsidR="00200D27" w:rsidRPr="006C799B" w:rsidRDefault="00200D27" w:rsidP="00200D27">
            <w:pPr>
              <w:spacing w:after="160" w:line="259" w:lineRule="auto"/>
              <w:rPr>
                <w:vanish/>
                <w:u w:val="single"/>
              </w:rPr>
            </w:pPr>
          </w:p>
          <w:tbl>
            <w:tblPr>
              <w:tblW w:w="0" w:type="auto"/>
              <w:tblCellSpacing w:w="15" w:type="dxa"/>
              <w:tblLook w:val="04A0" w:firstRow="1" w:lastRow="0" w:firstColumn="1" w:lastColumn="0" w:noHBand="0" w:noVBand="1"/>
            </w:tblPr>
            <w:tblGrid>
              <w:gridCol w:w="96"/>
            </w:tblGrid>
            <w:tr w:rsidR="00200D27" w:rsidRPr="006C799B" w14:paraId="40B31D72" w14:textId="77777777" w:rsidTr="003D482D">
              <w:trPr>
                <w:tblCellSpacing w:w="15" w:type="dxa"/>
                <w:hidden/>
              </w:trPr>
              <w:tc>
                <w:tcPr>
                  <w:tcW w:w="0" w:type="auto"/>
                  <w:tcMar>
                    <w:top w:w="15" w:type="dxa"/>
                    <w:left w:w="15" w:type="dxa"/>
                    <w:bottom w:w="15" w:type="dxa"/>
                    <w:right w:w="15" w:type="dxa"/>
                  </w:tcMar>
                  <w:vAlign w:val="center"/>
                  <w:hideMark/>
                </w:tcPr>
                <w:p w14:paraId="233844C6" w14:textId="77777777" w:rsidR="00200D27" w:rsidRPr="006C799B" w:rsidRDefault="00200D27" w:rsidP="00200D27">
                  <w:pPr>
                    <w:framePr w:hSpace="180" w:wrap="around" w:vAnchor="page" w:hAnchor="margin" w:xAlign="center" w:y="1516"/>
                    <w:rPr>
                      <w:vanish/>
                      <w:u w:val="single"/>
                    </w:rPr>
                  </w:pPr>
                </w:p>
              </w:tc>
            </w:tr>
          </w:tbl>
          <w:p w14:paraId="327D7D20" w14:textId="77777777" w:rsidR="00200D27" w:rsidRPr="006C799B" w:rsidRDefault="00200D27" w:rsidP="00200D27">
            <w:pPr>
              <w:spacing w:after="160" w:line="259" w:lineRule="auto"/>
              <w:rPr>
                <w:u w:val="single"/>
              </w:rPr>
            </w:pPr>
          </w:p>
        </w:tc>
        <w:tc>
          <w:tcPr>
            <w:tcW w:w="3898" w:type="dxa"/>
          </w:tcPr>
          <w:tbl>
            <w:tblPr>
              <w:tblW w:w="0" w:type="auto"/>
              <w:tblCellSpacing w:w="15" w:type="dxa"/>
              <w:tblLook w:val="04A0" w:firstRow="1" w:lastRow="0" w:firstColumn="1" w:lastColumn="0" w:noHBand="0" w:noVBand="1"/>
            </w:tblPr>
            <w:tblGrid>
              <w:gridCol w:w="3414"/>
            </w:tblGrid>
            <w:tr w:rsidR="00200D27" w:rsidRPr="005B2901" w14:paraId="197FD7CE" w14:textId="77777777" w:rsidTr="003D482D">
              <w:trPr>
                <w:tblCellSpacing w:w="15" w:type="dxa"/>
              </w:trPr>
              <w:tc>
                <w:tcPr>
                  <w:tcW w:w="0" w:type="auto"/>
                  <w:tcMar>
                    <w:top w:w="15" w:type="dxa"/>
                    <w:left w:w="15" w:type="dxa"/>
                    <w:bottom w:w="15" w:type="dxa"/>
                    <w:right w:w="15" w:type="dxa"/>
                  </w:tcMar>
                  <w:vAlign w:val="center"/>
                  <w:hideMark/>
                </w:tcPr>
                <w:p w14:paraId="1335FEE2" w14:textId="77777777" w:rsidR="00200D27" w:rsidRPr="005B2901" w:rsidRDefault="00200D27" w:rsidP="00200D27">
                  <w:pPr>
                    <w:framePr w:hSpace="180" w:wrap="around" w:vAnchor="page" w:hAnchor="margin" w:xAlign="center" w:y="1516"/>
                    <w:jc w:val="center"/>
                    <w:rPr>
                      <w:b/>
                      <w:bCs/>
                      <w:sz w:val="24"/>
                      <w:szCs w:val="24"/>
                      <w:u w:val="single"/>
                    </w:rPr>
                  </w:pPr>
                  <w:r w:rsidRPr="005B2901">
                    <w:rPr>
                      <w:sz w:val="24"/>
                      <w:szCs w:val="24"/>
                    </w:rPr>
                    <w:t xml:space="preserve">          </w:t>
                  </w:r>
                  <w:r w:rsidRPr="005B2901">
                    <w:rPr>
                      <w:b/>
                      <w:bCs/>
                      <w:sz w:val="24"/>
                      <w:szCs w:val="24"/>
                      <w:u w:val="single"/>
                    </w:rPr>
                    <w:t>Complex Problem Identified</w:t>
                  </w:r>
                </w:p>
              </w:tc>
            </w:tr>
          </w:tbl>
          <w:p w14:paraId="5886BA0C" w14:textId="77777777" w:rsidR="00200D27" w:rsidRPr="006C799B" w:rsidRDefault="00200D27" w:rsidP="00200D27">
            <w:pPr>
              <w:spacing w:after="160" w:line="259" w:lineRule="auto"/>
              <w:cnfStyle w:val="100000000000" w:firstRow="1" w:lastRow="0" w:firstColumn="0" w:lastColumn="0" w:oddVBand="0" w:evenVBand="0" w:oddHBand="0" w:evenHBand="0" w:firstRowFirstColumn="0" w:firstRowLastColumn="0" w:lastRowFirstColumn="0" w:lastRowLastColumn="0"/>
              <w:rPr>
                <w:vanish/>
                <w:u w:val="single"/>
              </w:rPr>
            </w:pPr>
          </w:p>
          <w:tbl>
            <w:tblPr>
              <w:tblW w:w="0" w:type="auto"/>
              <w:tblCellSpacing w:w="15" w:type="dxa"/>
              <w:tblLook w:val="04A0" w:firstRow="1" w:lastRow="0" w:firstColumn="1" w:lastColumn="0" w:noHBand="0" w:noVBand="1"/>
            </w:tblPr>
            <w:tblGrid>
              <w:gridCol w:w="96"/>
            </w:tblGrid>
            <w:tr w:rsidR="00200D27" w:rsidRPr="006C799B" w14:paraId="5EF90219" w14:textId="77777777" w:rsidTr="003D482D">
              <w:trPr>
                <w:tblCellSpacing w:w="15" w:type="dxa"/>
                <w:hidden/>
              </w:trPr>
              <w:tc>
                <w:tcPr>
                  <w:tcW w:w="0" w:type="auto"/>
                  <w:tcMar>
                    <w:top w:w="15" w:type="dxa"/>
                    <w:left w:w="15" w:type="dxa"/>
                    <w:bottom w:w="15" w:type="dxa"/>
                    <w:right w:w="15" w:type="dxa"/>
                  </w:tcMar>
                  <w:vAlign w:val="center"/>
                  <w:hideMark/>
                </w:tcPr>
                <w:p w14:paraId="439C51C0" w14:textId="77777777" w:rsidR="00200D27" w:rsidRPr="006C799B" w:rsidRDefault="00200D27" w:rsidP="00200D27">
                  <w:pPr>
                    <w:framePr w:hSpace="180" w:wrap="around" w:vAnchor="page" w:hAnchor="margin" w:xAlign="center" w:y="1516"/>
                    <w:rPr>
                      <w:vanish/>
                      <w:u w:val="single"/>
                    </w:rPr>
                  </w:pPr>
                </w:p>
              </w:tc>
            </w:tr>
          </w:tbl>
          <w:p w14:paraId="11D260A3" w14:textId="77777777" w:rsidR="00200D27" w:rsidRPr="006C799B" w:rsidRDefault="00200D27" w:rsidP="00200D27">
            <w:pPr>
              <w:spacing w:after="160" w:line="259" w:lineRule="auto"/>
              <w:cnfStyle w:val="100000000000" w:firstRow="1" w:lastRow="0" w:firstColumn="0" w:lastColumn="0" w:oddVBand="0" w:evenVBand="0" w:oddHBand="0" w:evenHBand="0" w:firstRowFirstColumn="0" w:firstRowLastColumn="0" w:lastRowFirstColumn="0" w:lastRowLastColumn="0"/>
              <w:rPr>
                <w:u w:val="single"/>
              </w:rPr>
            </w:pPr>
          </w:p>
        </w:tc>
        <w:tc>
          <w:tcPr>
            <w:tcW w:w="3898" w:type="dxa"/>
            <w:hideMark/>
          </w:tcPr>
          <w:p w14:paraId="4ED201BD" w14:textId="77777777" w:rsidR="00200D27" w:rsidRPr="005B2901" w:rsidRDefault="00200D27" w:rsidP="00200D27">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u w:val="single"/>
              </w:rPr>
            </w:pPr>
            <w:r w:rsidRPr="005B2901">
              <w:rPr>
                <w:sz w:val="24"/>
                <w:szCs w:val="24"/>
                <w:u w:val="single"/>
              </w:rPr>
              <w:t>J</w:t>
            </w:r>
            <w:r w:rsidRPr="005B2901">
              <w:rPr>
                <w:b w:val="0"/>
                <w:bCs w:val="0"/>
                <w:sz w:val="24"/>
                <w:szCs w:val="24"/>
                <w:u w:val="single"/>
              </w:rPr>
              <w:t>ustification</w:t>
            </w:r>
          </w:p>
        </w:tc>
      </w:tr>
      <w:tr w:rsidR="00200D27" w:rsidRPr="00200D27" w14:paraId="5A02B9BD" w14:textId="77777777" w:rsidTr="00200D27">
        <w:trPr>
          <w:cnfStyle w:val="000000100000" w:firstRow="0" w:lastRow="0" w:firstColumn="0" w:lastColumn="0" w:oddVBand="0" w:evenVBand="0" w:oddHBand="1" w:evenHBand="0" w:firstRowFirstColumn="0" w:firstRowLastColumn="0" w:lastRowFirstColumn="0" w:lastRowLastColumn="0"/>
          <w:trHeight w:val="3643"/>
        </w:trPr>
        <w:tc>
          <w:tcPr>
            <w:cnfStyle w:val="001000000000" w:firstRow="0" w:lastRow="0" w:firstColumn="1" w:lastColumn="0" w:oddVBand="0" w:evenVBand="0" w:oddHBand="0" w:evenHBand="0" w:firstRowFirstColumn="0" w:firstRowLastColumn="0" w:lastRowFirstColumn="0" w:lastRowLastColumn="0"/>
            <w:tcW w:w="3544" w:type="dxa"/>
            <w:hideMark/>
          </w:tcPr>
          <w:p w14:paraId="44228F51" w14:textId="77777777" w:rsidR="00200D27" w:rsidRPr="00200D27" w:rsidRDefault="00200D27" w:rsidP="00200D27">
            <w:pPr>
              <w:numPr>
                <w:ilvl w:val="0"/>
                <w:numId w:val="1"/>
              </w:numPr>
              <w:spacing w:after="160" w:line="259" w:lineRule="auto"/>
              <w:rPr>
                <w:sz w:val="28"/>
                <w:szCs w:val="28"/>
              </w:rPr>
            </w:pPr>
            <w:r w:rsidRPr="00200D27">
              <w:rPr>
                <w:sz w:val="28"/>
                <w:szCs w:val="28"/>
              </w:rPr>
              <w:t>Automotive Industry – Autonomous Vehicle Navigation in Urban Areas</w:t>
            </w:r>
          </w:p>
        </w:tc>
        <w:tc>
          <w:tcPr>
            <w:tcW w:w="3898" w:type="dxa"/>
          </w:tcPr>
          <w:p w14:paraId="7CE0E9E4" w14:textId="7FBF6997" w:rsidR="00200D27" w:rsidRPr="00200D27" w:rsidRDefault="00200D27" w:rsidP="00200D27">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00D27">
              <w:rPr>
                <w:sz w:val="28"/>
                <w:szCs w:val="28"/>
              </w:rPr>
              <w:t xml:space="preserve">Autonomous vehicles (AVs) struggle with real-time decision-making in highly dynamic urban environments due to unexpected obstacles, unpredictable human </w:t>
            </w:r>
            <w:r>
              <w:rPr>
                <w:sz w:val="28"/>
                <w:szCs w:val="28"/>
              </w:rPr>
              <w:t>behaviour</w:t>
            </w:r>
            <w:r w:rsidRPr="00200D27">
              <w:rPr>
                <w:sz w:val="28"/>
                <w:szCs w:val="28"/>
              </w:rPr>
              <w:t>, and changing traffic conditions.</w:t>
            </w:r>
          </w:p>
        </w:tc>
        <w:tc>
          <w:tcPr>
            <w:tcW w:w="3898" w:type="dxa"/>
            <w:hideMark/>
          </w:tcPr>
          <w:p w14:paraId="5B79DD5E" w14:textId="77777777" w:rsidR="00200D27" w:rsidRPr="00200D27" w:rsidRDefault="00200D27" w:rsidP="00200D27">
            <w:pPr>
              <w:cnfStyle w:val="000000100000" w:firstRow="0" w:lastRow="0" w:firstColumn="0" w:lastColumn="0" w:oddVBand="0" w:evenVBand="0" w:oddHBand="1" w:evenHBand="0" w:firstRowFirstColumn="0" w:firstRowLastColumn="0" w:lastRowFirstColumn="0" w:lastRowLastColumn="0"/>
              <w:rPr>
                <w:sz w:val="28"/>
                <w:szCs w:val="28"/>
              </w:rPr>
            </w:pPr>
            <w:r w:rsidRPr="00200D27">
              <w:rPr>
                <w:sz w:val="28"/>
                <w:szCs w:val="28"/>
              </w:rPr>
              <w:t>Ensuring safety and reliable navigation in complex city environments is crucial for widespread AV adoption.</w:t>
            </w:r>
          </w:p>
          <w:p w14:paraId="6D2E3DA1" w14:textId="77777777" w:rsidR="00200D27" w:rsidRPr="00200D27" w:rsidRDefault="00200D27" w:rsidP="00200D27">
            <w:pPr>
              <w:cnfStyle w:val="000000100000" w:firstRow="0" w:lastRow="0" w:firstColumn="0" w:lastColumn="0" w:oddVBand="0" w:evenVBand="0" w:oddHBand="1" w:evenHBand="0" w:firstRowFirstColumn="0" w:firstRowLastColumn="0" w:lastRowFirstColumn="0" w:lastRowLastColumn="0"/>
              <w:rPr>
                <w:sz w:val="28"/>
                <w:szCs w:val="28"/>
              </w:rPr>
            </w:pPr>
            <w:r w:rsidRPr="00200D27">
              <w:rPr>
                <w:sz w:val="28"/>
                <w:szCs w:val="28"/>
              </w:rPr>
              <w:t>Requires advancements in AI, machine learning, sensor fusion, and real-time data processing.</w:t>
            </w:r>
          </w:p>
          <w:p w14:paraId="21FF4B91" w14:textId="77777777" w:rsidR="00200D27" w:rsidRPr="00200D27" w:rsidRDefault="00200D27" w:rsidP="00200D27">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00D27">
              <w:rPr>
                <w:sz w:val="28"/>
                <w:szCs w:val="28"/>
              </w:rPr>
              <w:t>Addresses issues like pedestrian safety, accident prevention, and traffic optimization.</w:t>
            </w:r>
          </w:p>
        </w:tc>
      </w:tr>
      <w:tr w:rsidR="00200D27" w:rsidRPr="00200D27" w14:paraId="439CCE64" w14:textId="77777777" w:rsidTr="00200D27">
        <w:trPr>
          <w:trHeight w:val="3600"/>
        </w:trPr>
        <w:tc>
          <w:tcPr>
            <w:cnfStyle w:val="001000000000" w:firstRow="0" w:lastRow="0" w:firstColumn="1" w:lastColumn="0" w:oddVBand="0" w:evenVBand="0" w:oddHBand="0" w:evenHBand="0" w:firstRowFirstColumn="0" w:firstRowLastColumn="0" w:lastRowFirstColumn="0" w:lastRowLastColumn="0"/>
            <w:tcW w:w="3544" w:type="dxa"/>
            <w:hideMark/>
          </w:tcPr>
          <w:p w14:paraId="359C6D1D" w14:textId="77777777" w:rsidR="00200D27" w:rsidRPr="00200D27" w:rsidRDefault="00200D27" w:rsidP="00200D27">
            <w:pPr>
              <w:numPr>
                <w:ilvl w:val="0"/>
                <w:numId w:val="1"/>
              </w:numPr>
              <w:spacing w:after="160" w:line="259" w:lineRule="auto"/>
              <w:rPr>
                <w:sz w:val="28"/>
                <w:szCs w:val="28"/>
              </w:rPr>
            </w:pPr>
            <w:r w:rsidRPr="00200D27">
              <w:rPr>
                <w:sz w:val="28"/>
                <w:szCs w:val="28"/>
              </w:rPr>
              <w:t>Healthcare – AI-Based Early Disease Diagnosis</w:t>
            </w:r>
          </w:p>
        </w:tc>
        <w:tc>
          <w:tcPr>
            <w:tcW w:w="3898" w:type="dxa"/>
          </w:tcPr>
          <w:p w14:paraId="4D12C920" w14:textId="77777777" w:rsidR="00200D27" w:rsidRPr="00200D27" w:rsidRDefault="00200D27" w:rsidP="00200D27">
            <w:pPr>
              <w:spacing w:after="160" w:line="259" w:lineRule="auto"/>
              <w:cnfStyle w:val="000000000000" w:firstRow="0" w:lastRow="0" w:firstColumn="0" w:lastColumn="0" w:oddVBand="0" w:evenVBand="0" w:oddHBand="0" w:evenHBand="0" w:firstRowFirstColumn="0" w:firstRowLastColumn="0" w:lastRowFirstColumn="0" w:lastRowLastColumn="0"/>
              <w:rPr>
                <w:sz w:val="28"/>
                <w:szCs w:val="28"/>
              </w:rPr>
            </w:pPr>
            <w:r w:rsidRPr="00200D27">
              <w:rPr>
                <w:sz w:val="28"/>
                <w:szCs w:val="28"/>
              </w:rPr>
              <w:t>Developing an AI-powered system that can accurately diagnose diseases such as cancer, Alzheimer’s, and cardiovascular conditions at an early stage using medical imaging, genetic data, and patient history.</w:t>
            </w:r>
          </w:p>
        </w:tc>
        <w:tc>
          <w:tcPr>
            <w:tcW w:w="3898" w:type="dxa"/>
          </w:tcPr>
          <w:p w14:paraId="64BAB76D" w14:textId="77777777" w:rsidR="00200D27" w:rsidRPr="00200D27" w:rsidRDefault="00200D27" w:rsidP="00200D27">
            <w:pPr>
              <w:cnfStyle w:val="000000000000" w:firstRow="0" w:lastRow="0" w:firstColumn="0" w:lastColumn="0" w:oddVBand="0" w:evenVBand="0" w:oddHBand="0" w:evenHBand="0" w:firstRowFirstColumn="0" w:firstRowLastColumn="0" w:lastRowFirstColumn="0" w:lastRowLastColumn="0"/>
              <w:rPr>
                <w:sz w:val="28"/>
                <w:szCs w:val="28"/>
              </w:rPr>
            </w:pPr>
            <w:r w:rsidRPr="00200D27">
              <w:rPr>
                <w:sz w:val="28"/>
                <w:szCs w:val="28"/>
              </w:rPr>
              <w:t xml:space="preserve">Early detection increases treatment success rates and reduces healthcare costs. </w:t>
            </w:r>
          </w:p>
          <w:p w14:paraId="6A1BB287" w14:textId="77777777" w:rsidR="00200D27" w:rsidRPr="00200D27" w:rsidRDefault="00200D27" w:rsidP="00200D27">
            <w:pPr>
              <w:cnfStyle w:val="000000000000" w:firstRow="0" w:lastRow="0" w:firstColumn="0" w:lastColumn="0" w:oddVBand="0" w:evenVBand="0" w:oddHBand="0" w:evenHBand="0" w:firstRowFirstColumn="0" w:firstRowLastColumn="0" w:lastRowFirstColumn="0" w:lastRowLastColumn="0"/>
              <w:rPr>
                <w:sz w:val="28"/>
                <w:szCs w:val="28"/>
              </w:rPr>
            </w:pPr>
            <w:r w:rsidRPr="00200D27">
              <w:rPr>
                <w:sz w:val="28"/>
                <w:szCs w:val="28"/>
              </w:rPr>
              <w:t>Requires handling large datasets, image processing, and deep learning models for accurate predictions. Ethical concerns like data privacy, AI bias, and patient trust need to be addressed.</w:t>
            </w:r>
          </w:p>
        </w:tc>
      </w:tr>
      <w:tr w:rsidR="00200D27" w:rsidRPr="00200D27" w14:paraId="6A6AAC49" w14:textId="77777777" w:rsidTr="00200D27">
        <w:trPr>
          <w:cnfStyle w:val="000000100000" w:firstRow="0" w:lastRow="0" w:firstColumn="0" w:lastColumn="0" w:oddVBand="0" w:evenVBand="0" w:oddHBand="1" w:evenHBand="0" w:firstRowFirstColumn="0" w:firstRowLastColumn="0" w:lastRowFirstColumn="0" w:lastRowLastColumn="0"/>
          <w:trHeight w:val="3822"/>
        </w:trPr>
        <w:tc>
          <w:tcPr>
            <w:cnfStyle w:val="001000000000" w:firstRow="0" w:lastRow="0" w:firstColumn="1" w:lastColumn="0" w:oddVBand="0" w:evenVBand="0" w:oddHBand="0" w:evenHBand="0" w:firstRowFirstColumn="0" w:firstRowLastColumn="0" w:lastRowFirstColumn="0" w:lastRowLastColumn="0"/>
            <w:tcW w:w="3544" w:type="dxa"/>
            <w:hideMark/>
          </w:tcPr>
          <w:p w14:paraId="71A6BB00" w14:textId="77777777" w:rsidR="00200D27" w:rsidRPr="00200D27" w:rsidRDefault="00200D27" w:rsidP="00200D27">
            <w:pPr>
              <w:numPr>
                <w:ilvl w:val="0"/>
                <w:numId w:val="1"/>
              </w:numPr>
              <w:spacing w:after="160" w:line="259" w:lineRule="auto"/>
              <w:rPr>
                <w:sz w:val="28"/>
                <w:szCs w:val="28"/>
              </w:rPr>
            </w:pPr>
            <w:r w:rsidRPr="00200D27">
              <w:rPr>
                <w:sz w:val="28"/>
                <w:szCs w:val="28"/>
              </w:rPr>
              <w:t>Renewable Energy – Efficient Energy Storage Solutions</w:t>
            </w:r>
          </w:p>
        </w:tc>
        <w:tc>
          <w:tcPr>
            <w:tcW w:w="3898" w:type="dxa"/>
          </w:tcPr>
          <w:p w14:paraId="2460E5B0" w14:textId="77777777" w:rsidR="00200D27" w:rsidRPr="00200D27" w:rsidRDefault="00200D27" w:rsidP="00200D27">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00D27">
              <w:rPr>
                <w:sz w:val="28"/>
                <w:szCs w:val="28"/>
              </w:rPr>
              <w:t>Renewable energy sources like solar and wind are intermittent, meaning energy storage systems (like batteries) must efficiently store and distribute power based on demand. However, current battery technologies face limitations in capacity, efficiency, lifespan, and environmental impact.</w:t>
            </w:r>
          </w:p>
        </w:tc>
        <w:tc>
          <w:tcPr>
            <w:tcW w:w="3898" w:type="dxa"/>
          </w:tcPr>
          <w:p w14:paraId="34585FFD" w14:textId="77777777" w:rsidR="00200D27" w:rsidRPr="00200D27" w:rsidRDefault="00200D27" w:rsidP="00200D27">
            <w:pPr>
              <w:cnfStyle w:val="000000100000" w:firstRow="0" w:lastRow="0" w:firstColumn="0" w:lastColumn="0" w:oddVBand="0" w:evenVBand="0" w:oddHBand="1" w:evenHBand="0" w:firstRowFirstColumn="0" w:firstRowLastColumn="0" w:lastRowFirstColumn="0" w:lastRowLastColumn="0"/>
              <w:rPr>
                <w:sz w:val="28"/>
                <w:szCs w:val="28"/>
              </w:rPr>
            </w:pPr>
            <w:r w:rsidRPr="00200D27">
              <w:rPr>
                <w:sz w:val="28"/>
                <w:szCs w:val="28"/>
              </w:rPr>
              <w:t>Essential for transitioning to sustainable energy solutions and reducing dependence on fossil fuels.</w:t>
            </w:r>
          </w:p>
          <w:p w14:paraId="3D673897" w14:textId="77777777" w:rsidR="00200D27" w:rsidRPr="00200D27" w:rsidRDefault="00200D27" w:rsidP="00200D27">
            <w:pPr>
              <w:cnfStyle w:val="000000100000" w:firstRow="0" w:lastRow="0" w:firstColumn="0" w:lastColumn="0" w:oddVBand="0" w:evenVBand="0" w:oddHBand="1" w:evenHBand="0" w:firstRowFirstColumn="0" w:firstRowLastColumn="0" w:lastRowFirstColumn="0" w:lastRowLastColumn="0"/>
              <w:rPr>
                <w:sz w:val="28"/>
                <w:szCs w:val="28"/>
              </w:rPr>
            </w:pPr>
            <w:r w:rsidRPr="00200D27">
              <w:rPr>
                <w:sz w:val="28"/>
                <w:szCs w:val="28"/>
              </w:rPr>
              <w:t>Requires advancements in solid-state batteries, supercapacitors, and hydrogen storage.</w:t>
            </w:r>
          </w:p>
          <w:p w14:paraId="3BF2BDDD" w14:textId="77777777" w:rsidR="00200D27" w:rsidRPr="00200D27" w:rsidRDefault="00200D27" w:rsidP="00200D27">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sidRPr="00200D27">
              <w:rPr>
                <w:sz w:val="28"/>
                <w:szCs w:val="28"/>
              </w:rPr>
              <w:t>Addresses grid stability, energy loss, and raw material shortages (like lithium and cobalt).</w:t>
            </w:r>
          </w:p>
        </w:tc>
      </w:tr>
    </w:tbl>
    <w:p w14:paraId="77A4F585" w14:textId="11934BA9" w:rsidR="00B22925" w:rsidRPr="00200D27" w:rsidRDefault="00B22925" w:rsidP="00200D27">
      <w:pPr>
        <w:rPr>
          <w:sz w:val="28"/>
          <w:szCs w:val="28"/>
        </w:rPr>
      </w:pPr>
    </w:p>
    <w:sectPr w:rsidR="00B22925" w:rsidRPr="00200D27" w:rsidSect="00200D27">
      <w:pgSz w:w="11906" w:h="16838"/>
      <w:pgMar w:top="56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DAF3E" w14:textId="77777777" w:rsidR="00A73E48" w:rsidRDefault="00A73E48" w:rsidP="007D58D4">
      <w:pPr>
        <w:spacing w:after="0" w:line="240" w:lineRule="auto"/>
      </w:pPr>
      <w:r>
        <w:separator/>
      </w:r>
    </w:p>
  </w:endnote>
  <w:endnote w:type="continuationSeparator" w:id="0">
    <w:p w14:paraId="304D5B7F" w14:textId="77777777" w:rsidR="00A73E48" w:rsidRDefault="00A73E48" w:rsidP="007D5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C9A63" w14:textId="77777777" w:rsidR="00A73E48" w:rsidRDefault="00A73E48" w:rsidP="007D58D4">
      <w:pPr>
        <w:spacing w:after="0" w:line="240" w:lineRule="auto"/>
      </w:pPr>
      <w:r>
        <w:separator/>
      </w:r>
    </w:p>
  </w:footnote>
  <w:footnote w:type="continuationSeparator" w:id="0">
    <w:p w14:paraId="33BDEE2C" w14:textId="77777777" w:rsidR="00A73E48" w:rsidRDefault="00A73E48" w:rsidP="007D5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87463"/>
    <w:multiLevelType w:val="hybridMultilevel"/>
    <w:tmpl w:val="A628DB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179513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6E"/>
    <w:rsid w:val="00200D27"/>
    <w:rsid w:val="00214989"/>
    <w:rsid w:val="002C57FC"/>
    <w:rsid w:val="002D4158"/>
    <w:rsid w:val="0049013A"/>
    <w:rsid w:val="005B2901"/>
    <w:rsid w:val="0067310A"/>
    <w:rsid w:val="006B5A6E"/>
    <w:rsid w:val="006C799B"/>
    <w:rsid w:val="007261D6"/>
    <w:rsid w:val="007D58D4"/>
    <w:rsid w:val="008C4DAF"/>
    <w:rsid w:val="009A3F8F"/>
    <w:rsid w:val="00A73E48"/>
    <w:rsid w:val="00B22925"/>
    <w:rsid w:val="00F83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3015"/>
  <w15:chartTrackingRefBased/>
  <w15:docId w15:val="{57D9EE54-A66B-4C67-8238-97DCC9C6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A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A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A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A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A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A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A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A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A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A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A6E"/>
    <w:rPr>
      <w:rFonts w:eastAsiaTheme="majorEastAsia" w:cstheme="majorBidi"/>
      <w:color w:val="272727" w:themeColor="text1" w:themeTint="D8"/>
    </w:rPr>
  </w:style>
  <w:style w:type="paragraph" w:styleId="Title">
    <w:name w:val="Title"/>
    <w:basedOn w:val="Normal"/>
    <w:next w:val="Normal"/>
    <w:link w:val="TitleChar"/>
    <w:uiPriority w:val="10"/>
    <w:qFormat/>
    <w:rsid w:val="006B5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A6E"/>
    <w:pPr>
      <w:spacing w:before="160"/>
      <w:jc w:val="center"/>
    </w:pPr>
    <w:rPr>
      <w:i/>
      <w:iCs/>
      <w:color w:val="404040" w:themeColor="text1" w:themeTint="BF"/>
    </w:rPr>
  </w:style>
  <w:style w:type="character" w:customStyle="1" w:styleId="QuoteChar">
    <w:name w:val="Quote Char"/>
    <w:basedOn w:val="DefaultParagraphFont"/>
    <w:link w:val="Quote"/>
    <w:uiPriority w:val="29"/>
    <w:rsid w:val="006B5A6E"/>
    <w:rPr>
      <w:i/>
      <w:iCs/>
      <w:color w:val="404040" w:themeColor="text1" w:themeTint="BF"/>
    </w:rPr>
  </w:style>
  <w:style w:type="paragraph" w:styleId="ListParagraph">
    <w:name w:val="List Paragraph"/>
    <w:basedOn w:val="Normal"/>
    <w:uiPriority w:val="34"/>
    <w:qFormat/>
    <w:rsid w:val="006B5A6E"/>
    <w:pPr>
      <w:ind w:left="720"/>
      <w:contextualSpacing/>
    </w:pPr>
  </w:style>
  <w:style w:type="character" w:styleId="IntenseEmphasis">
    <w:name w:val="Intense Emphasis"/>
    <w:basedOn w:val="DefaultParagraphFont"/>
    <w:uiPriority w:val="21"/>
    <w:qFormat/>
    <w:rsid w:val="006B5A6E"/>
    <w:rPr>
      <w:i/>
      <w:iCs/>
      <w:color w:val="2F5496" w:themeColor="accent1" w:themeShade="BF"/>
    </w:rPr>
  </w:style>
  <w:style w:type="paragraph" w:styleId="IntenseQuote">
    <w:name w:val="Intense Quote"/>
    <w:basedOn w:val="Normal"/>
    <w:next w:val="Normal"/>
    <w:link w:val="IntenseQuoteChar"/>
    <w:uiPriority w:val="30"/>
    <w:qFormat/>
    <w:rsid w:val="006B5A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A6E"/>
    <w:rPr>
      <w:i/>
      <w:iCs/>
      <w:color w:val="2F5496" w:themeColor="accent1" w:themeShade="BF"/>
    </w:rPr>
  </w:style>
  <w:style w:type="character" w:styleId="IntenseReference">
    <w:name w:val="Intense Reference"/>
    <w:basedOn w:val="DefaultParagraphFont"/>
    <w:uiPriority w:val="32"/>
    <w:qFormat/>
    <w:rsid w:val="006B5A6E"/>
    <w:rPr>
      <w:b/>
      <w:bCs/>
      <w:smallCaps/>
      <w:color w:val="2F5496" w:themeColor="accent1" w:themeShade="BF"/>
      <w:spacing w:val="5"/>
    </w:rPr>
  </w:style>
  <w:style w:type="table" w:styleId="TableGrid">
    <w:name w:val="Table Grid"/>
    <w:basedOn w:val="TableNormal"/>
    <w:uiPriority w:val="39"/>
    <w:rsid w:val="006C7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58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8D4"/>
  </w:style>
  <w:style w:type="paragraph" w:styleId="Footer">
    <w:name w:val="footer"/>
    <w:basedOn w:val="Normal"/>
    <w:link w:val="FooterChar"/>
    <w:uiPriority w:val="99"/>
    <w:unhideWhenUsed/>
    <w:rsid w:val="007D58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8D4"/>
  </w:style>
  <w:style w:type="table" w:styleId="GridTable5Dark-Accent3">
    <w:name w:val="Grid Table 5 Dark Accent 3"/>
    <w:basedOn w:val="TableNormal"/>
    <w:uiPriority w:val="50"/>
    <w:rsid w:val="00200D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200D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79569">
      <w:bodyDiv w:val="1"/>
      <w:marLeft w:val="0"/>
      <w:marRight w:val="0"/>
      <w:marTop w:val="0"/>
      <w:marBottom w:val="0"/>
      <w:divBdr>
        <w:top w:val="none" w:sz="0" w:space="0" w:color="auto"/>
        <w:left w:val="none" w:sz="0" w:space="0" w:color="auto"/>
        <w:bottom w:val="none" w:sz="0" w:space="0" w:color="auto"/>
        <w:right w:val="none" w:sz="0" w:space="0" w:color="auto"/>
      </w:divBdr>
    </w:div>
    <w:div w:id="18786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irfan Khan</dc:creator>
  <cp:keywords/>
  <dc:description/>
  <cp:lastModifiedBy>Danish irfan Khan</cp:lastModifiedBy>
  <cp:revision>4</cp:revision>
  <dcterms:created xsi:type="dcterms:W3CDTF">2025-02-24T13:10:00Z</dcterms:created>
  <dcterms:modified xsi:type="dcterms:W3CDTF">2025-02-25T19:52:00Z</dcterms:modified>
</cp:coreProperties>
</file>