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jc w:val="center"/>
      </w:pPr>
      <w:r>
        <w:rPr>
          <w:b/>
          <w:bCs/>
          <w:color w:val="A6192E"/>
          <w:sz w:val="22"/>
          <w:szCs w:val="22"/>
        </w:rPr>
        <w:t xml:space="preserve">ENTERPRISE CYBERSECURITY BUSINESS BLUEPRINT</w:t>
      </w:r>
    </w:p>
    <w:p>
      <w:pPr>
        <w:spacing w:after="120"/>
        <w:jc w:val="center"/>
      </w:pPr>
      <w:r>
        <w:rPr>
          <w:b/>
          <w:bCs/>
          <w:color w:val="1A1A1A"/>
          <w:sz w:val="64"/>
          <w:szCs w:val="64"/>
        </w:rPr>
        <w:t xml:space="preserve">Codeward Security</w:t>
      </w:r>
    </w:p>
    <w:p>
      <w:pPr>
        <w:spacing w:after="280"/>
        <w:jc w:val="center"/>
      </w:pPr>
      <w:r>
        <w:rPr>
          <w:b/>
          <w:bCs/>
          <w:i/>
          <w:iCs/>
          <w:color w:val="A6192E"/>
          <w:sz w:val="28"/>
          <w:szCs w:val="28"/>
        </w:rPr>
        <w:t xml:space="preserve">Security Built by Developers, for Developers</w:t>
      </w:r>
    </w:p>
    <w:p>
      <w:pPr>
        <w:pBdr>
          <w:bottom w:val="single" w:color="8C8C8C" w:sz="16" w:space="4"/>
        </w:pBdr>
        <w:spacing w:after="280"/>
        <w:jc w:val="center"/>
      </w:pPr>
      <w:r>
        <w:t xml:space="preserve"/>
      </w:r>
    </w:p>
    <w:p>
      <w:pPr>
        <w:spacing w:after="80"/>
        <w:jc w:val="center"/>
      </w:pPr>
      <w:r>
        <w:rPr>
          <w:color w:val="404040"/>
          <w:sz w:val="22"/>
          <w:szCs w:val="22"/>
        </w:rPr>
        <w:t xml:space="preserve">A Development-First Cybersecurity Practice for Financial Services, Telecom, Healthcare, E-Commerce &amp; Technology-Driven Enterprises</w:t>
      </w:r>
    </w:p>
    <w:p>
      <w:pPr>
        <w:spacing w:after="600"/>
        <w:jc w:val="center"/>
      </w:pPr>
      <w:r>
        <w:rPr>
          <w:b/>
          <w:bCs/>
          <w:color w:val="8C8C8C"/>
          <w:sz w:val="20"/>
          <w:szCs w:val="20"/>
        </w:rPr>
        <w:t xml:space="preserve">Operating Across North America, Europe &amp; Africa</w:t>
      </w:r>
    </w:p>
    <w:tbl>
      <w:tblPr>
        <w:tblW w:type="dxa" w:w="9360"/>
        <w:tblBorders>
          <w:top w:val="none"/>
          <w:left w:val="none"/>
          <w:bottom w:val="none"/>
          <w:right w:val="none"/>
          <w:insideH w:val="none"/>
          <w:insideV w:val="none"/>
        </w:tblBorders>
      </w:tblPr>
      <w:tblGrid>
        <w:gridCol w:w="9360"/>
      </w:tblGrid>
      <w:tr>
        <w:tc>
          <w:tcPr>
            <w:tcW w:type="dxa" w:w="9360"/>
            <w:shd w:fill="1A1A1A" w:val="clear"/>
            <w:tcMar>
              <w:top w:type="dxa" w:w="180"/>
              <w:left w:type="dxa" w:w="200"/>
              <w:bottom w:type="dxa" w:w="180"/>
              <w:right w:type="dxa" w:w="200"/>
            </w:tcMar>
            <w:vAlign w:val="center"/>
          </w:tcPr>
          <w:p>
            <w:pPr>
              <w:jc w:val="center"/>
            </w:pPr>
            <w:r>
              <w:rPr>
                <w:b/>
                <w:bCs/>
                <w:color w:val="FFFFFF"/>
                <w:sz w:val="22"/>
                <w:szCs w:val="22"/>
              </w:rPr>
              <w:t xml:space="preserve">CONFIDENTIAL  —  STRATEGIC BUSINESS BLUEPRINT</w:t>
            </w:r>
          </w:p>
        </w:tc>
      </w:tr>
    </w:tbl>
    <w:p>
      <w:pPr>
        <w:spacing w:before="100"/>
        <w:jc w:val="center"/>
      </w:pPr>
      <w:r>
        <w:rPr>
          <w:b/>
          <w:bCs/>
          <w:color w:val="8C8C8C"/>
          <w:sz w:val="20"/>
          <w:szCs w:val="20"/>
        </w:rPr>
        <w:t xml:space="preserve">PREPARED FOR:  </w:t>
      </w:r>
      <w:r>
        <w:rPr>
          <w:color w:val="404040"/>
          <w:sz w:val="20"/>
          <w:szCs w:val="20"/>
        </w:rPr>
        <w:t xml:space="preserve">Board of Directors &amp; Executive Leadership</w:t>
      </w:r>
    </w:p>
    <w:p>
      <w:pPr>
        <w:spacing w:before="100"/>
        <w:jc w:val="center"/>
      </w:pPr>
      <w:r>
        <w:rPr>
          <w:b/>
          <w:bCs/>
          <w:color w:val="8C8C8C"/>
          <w:sz w:val="20"/>
          <w:szCs w:val="20"/>
        </w:rPr>
        <w:t xml:space="preserve">PREPARED BY:  </w:t>
      </w:r>
      <w:r>
        <w:rPr>
          <w:color w:val="404040"/>
          <w:sz w:val="20"/>
          <w:szCs w:val="20"/>
        </w:rPr>
        <w:t xml:space="preserve">[Insert Founder Name], Founder &amp; Chief Security Architect</w:t>
      </w:r>
    </w:p>
    <w:p>
      <w:pPr>
        <w:spacing w:before="100"/>
        <w:jc w:val="center"/>
      </w:pPr>
      <w:r>
        <w:rPr>
          <w:b/>
          <w:bCs/>
          <w:color w:val="8C8C8C"/>
          <w:sz w:val="20"/>
          <w:szCs w:val="20"/>
        </w:rPr>
        <w:t xml:space="preserve">DATE:  </w:t>
      </w:r>
      <w:r>
        <w:rPr>
          <w:color w:val="404040"/>
          <w:sz w:val="20"/>
          <w:szCs w:val="20"/>
        </w:rPr>
        <w:t xml:space="preserve">[Insert Date]</w:t>
      </w:r>
    </w:p>
    <w:p>
      <w:r>
        <w:br w:type="page"/>
      </w:r>
    </w:p>
    <w:p>
      <w:pPr>
        <w:pStyle w:val="Heading1"/>
      </w:pPr>
      <w:r>
        <w:t xml:space="preserve">1. Executive Summary &amp; Development-First Value Proposition</w:t>
      </w:r>
    </w:p>
    <w:p>
      <w:pPr>
        <w:pStyle w:val="Heading2"/>
      </w:pPr>
      <w:r>
        <w:t xml:space="preserve">1.1 Company Identity</w:t>
      </w:r>
    </w:p>
    <w:p>
      <w:r>
        <w:t xml:space="preserve">The firm operates under the name Codeward Security, chosen to signal the firm's core differentiator at first glance: security engineered into software, not discovered after the fact and handed back as a findings PDF. “Code” plus “Ward” (guardian) signals protection embedded directly inside the codebase rather than bolted onto the perimeter.</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200"/>
        <w:gridCol w:w="2660"/>
        <w:gridCol w:w="4500"/>
      </w:tblGrid>
      <w:tr>
        <w:trPr>
          <w:tblHeader/>
        </w:trPr>
        <w:tc>
          <w:tcPr>
            <w:tcW w:type="dxa" w:w="2200"/>
            <w:shd w:fill="1A1A1A" w:val="clear"/>
            <w:tcMar>
              <w:top w:type="dxa" w:w="100"/>
              <w:left w:type="dxa" w:w="140"/>
              <w:bottom w:type="dxa" w:w="100"/>
              <w:right w:type="dxa" w:w="140"/>
            </w:tcMar>
            <w:vAlign w:val="center"/>
          </w:tcPr>
          <w:p>
            <w:r>
              <w:rPr>
                <w:b/>
                <w:bCs/>
                <w:color w:val="FFFFFF"/>
                <w:sz w:val="20"/>
                <w:szCs w:val="20"/>
              </w:rPr>
              <w:t xml:space="preserve">Status</w:t>
            </w:r>
          </w:p>
        </w:tc>
        <w:tc>
          <w:tcPr>
            <w:tcW w:type="dxa" w:w="2660"/>
            <w:shd w:fill="1A1A1A" w:val="clear"/>
            <w:tcMar>
              <w:top w:type="dxa" w:w="100"/>
              <w:left w:type="dxa" w:w="140"/>
              <w:bottom w:type="dxa" w:w="100"/>
              <w:right w:type="dxa" w:w="140"/>
            </w:tcMar>
            <w:vAlign w:val="center"/>
          </w:tcPr>
          <w:p>
            <w:r>
              <w:rPr>
                <w:b/>
                <w:bCs/>
                <w:color w:val="FFFFFF"/>
                <w:sz w:val="20"/>
                <w:szCs w:val="20"/>
              </w:rPr>
              <w:t xml:space="preserve">Name</w:t>
            </w:r>
          </w:p>
        </w:tc>
        <w:tc>
          <w:tcPr>
            <w:tcW w:type="dxa" w:w="4500"/>
            <w:shd w:fill="1A1A1A" w:val="clear"/>
            <w:tcMar>
              <w:top w:type="dxa" w:w="100"/>
              <w:left w:type="dxa" w:w="140"/>
              <w:bottom w:type="dxa" w:w="100"/>
              <w:right w:type="dxa" w:w="140"/>
            </w:tcMar>
            <w:vAlign w:val="center"/>
          </w:tcPr>
          <w:p>
            <w:r>
              <w:rPr>
                <w:b/>
                <w:bCs/>
                <w:color w:val="FFFFFF"/>
                <w:sz w:val="20"/>
                <w:szCs w:val="20"/>
              </w:rPr>
              <w:t xml:space="preserve">Tagline</w:t>
            </w:r>
          </w:p>
        </w:tc>
      </w:tr>
      <w:tr>
        <w:tc>
          <w:tcPr>
            <w:tcW w:type="dxa" w:w="2200"/>
            <w:shd w:fill="FFFFFF" w:val="clear"/>
            <w:tcMar>
              <w:top w:type="dxa" w:w="100"/>
              <w:left w:type="dxa" w:w="140"/>
              <w:bottom w:type="dxa" w:w="100"/>
              <w:right w:type="dxa" w:w="140"/>
            </w:tcMar>
            <w:vAlign w:val="center"/>
          </w:tcPr>
          <w:p>
            <w:r>
              <w:rPr>
                <w:b w:val="false"/>
                <w:bCs w:val="false"/>
                <w:color w:val="2B2B2B"/>
                <w:sz w:val="20"/>
                <w:szCs w:val="20"/>
              </w:rPr>
              <w:t xml:space="preserve">Selected</w:t>
            </w:r>
          </w:p>
        </w:tc>
        <w:tc>
          <w:tcPr>
            <w:tcW w:type="dxa" w:w="2660"/>
            <w:shd w:fill="FFFFFF" w:val="clear"/>
            <w:tcMar>
              <w:top w:type="dxa" w:w="100"/>
              <w:left w:type="dxa" w:w="140"/>
              <w:bottom w:type="dxa" w:w="100"/>
              <w:right w:type="dxa" w:w="140"/>
            </w:tcMar>
            <w:vAlign w:val="center"/>
          </w:tcPr>
          <w:p>
            <w:r>
              <w:rPr>
                <w:b w:val="false"/>
                <w:bCs w:val="false"/>
                <w:color w:val="2B2B2B"/>
                <w:sz w:val="20"/>
                <w:szCs w:val="20"/>
              </w:rPr>
              <w:t xml:space="preserve">Codeward Security</w:t>
            </w:r>
          </w:p>
        </w:tc>
        <w:tc>
          <w:tcPr>
            <w:tcW w:type="dxa" w:w="4500"/>
            <w:shd w:fill="FFFFFF" w:val="clear"/>
            <w:tcMar>
              <w:top w:type="dxa" w:w="100"/>
              <w:left w:type="dxa" w:w="140"/>
              <w:bottom w:type="dxa" w:w="100"/>
              <w:right w:type="dxa" w:w="140"/>
            </w:tcMar>
            <w:vAlign w:val="center"/>
          </w:tcPr>
          <w:p>
            <w:r>
              <w:rPr>
                <w:b w:val="false"/>
                <w:bCs w:val="false"/>
                <w:color w:val="2B2B2B"/>
                <w:sz w:val="20"/>
                <w:szCs w:val="20"/>
              </w:rPr>
              <w:t xml:space="preserve">“Where Code Meets Conviction.”</w:t>
            </w:r>
          </w:p>
        </w:tc>
      </w:tr>
      <w:tr>
        <w:tc>
          <w:tcPr>
            <w:tcW w:type="dxa" w:w="2200"/>
            <w:shd w:fill="E9E9E9" w:val="clear"/>
            <w:tcMar>
              <w:top w:type="dxa" w:w="100"/>
              <w:left w:type="dxa" w:w="140"/>
              <w:bottom w:type="dxa" w:w="100"/>
              <w:right w:type="dxa" w:w="140"/>
            </w:tcMar>
            <w:vAlign w:val="center"/>
          </w:tcPr>
          <w:p>
            <w:r>
              <w:rPr>
                <w:b w:val="false"/>
                <w:bCs w:val="false"/>
                <w:color w:val="2B2B2B"/>
                <w:sz w:val="20"/>
                <w:szCs w:val="20"/>
              </w:rPr>
              <w:t xml:space="preserve">Reserve Option</w:t>
            </w:r>
          </w:p>
        </w:tc>
        <w:tc>
          <w:tcPr>
            <w:tcW w:type="dxa" w:w="2660"/>
            <w:shd w:fill="E9E9E9" w:val="clear"/>
            <w:tcMar>
              <w:top w:type="dxa" w:w="100"/>
              <w:left w:type="dxa" w:w="140"/>
              <w:bottom w:type="dxa" w:w="100"/>
              <w:right w:type="dxa" w:w="140"/>
            </w:tcMar>
            <w:vAlign w:val="center"/>
          </w:tcPr>
          <w:p>
            <w:r>
              <w:rPr>
                <w:b w:val="false"/>
                <w:bCs w:val="false"/>
                <w:color w:val="2B2B2B"/>
                <w:sz w:val="20"/>
                <w:szCs w:val="20"/>
              </w:rPr>
              <w:t xml:space="preserve">RootCommit Security</w:t>
            </w:r>
          </w:p>
        </w:tc>
        <w:tc>
          <w:tcPr>
            <w:tcW w:type="dxa" w:w="4500"/>
            <w:shd w:fill="E9E9E9" w:val="clear"/>
            <w:tcMar>
              <w:top w:type="dxa" w:w="100"/>
              <w:left w:type="dxa" w:w="140"/>
              <w:bottom w:type="dxa" w:w="100"/>
              <w:right w:type="dxa" w:w="140"/>
            </w:tcMar>
            <w:vAlign w:val="center"/>
          </w:tcPr>
          <w:p>
            <w:r>
              <w:rPr>
                <w:b w:val="false"/>
                <w:bCs w:val="false"/>
                <w:color w:val="2B2B2B"/>
                <w:sz w:val="20"/>
                <w:szCs w:val="20"/>
              </w:rPr>
              <w:t xml:space="preserve">“Fixing the Root, Not the Symptom.”</w:t>
            </w:r>
          </w:p>
        </w:tc>
      </w:tr>
      <w:tr>
        <w:tc>
          <w:tcPr>
            <w:tcW w:type="dxa" w:w="2200"/>
            <w:shd w:fill="FFFFFF" w:val="clear"/>
            <w:tcMar>
              <w:top w:type="dxa" w:w="100"/>
              <w:left w:type="dxa" w:w="140"/>
              <w:bottom w:type="dxa" w:w="100"/>
              <w:right w:type="dxa" w:w="140"/>
            </w:tcMar>
            <w:vAlign w:val="center"/>
          </w:tcPr>
          <w:p>
            <w:r>
              <w:rPr>
                <w:b w:val="false"/>
                <w:bCs w:val="false"/>
                <w:color w:val="2B2B2B"/>
                <w:sz w:val="20"/>
                <w:szCs w:val="20"/>
              </w:rPr>
              <w:t xml:space="preserve">Reserve Option</w:t>
            </w:r>
          </w:p>
        </w:tc>
        <w:tc>
          <w:tcPr>
            <w:tcW w:type="dxa" w:w="2660"/>
            <w:shd w:fill="FFFFFF" w:val="clear"/>
            <w:tcMar>
              <w:top w:type="dxa" w:w="100"/>
              <w:left w:type="dxa" w:w="140"/>
              <w:bottom w:type="dxa" w:w="100"/>
              <w:right w:type="dxa" w:w="140"/>
            </w:tcMar>
            <w:vAlign w:val="center"/>
          </w:tcPr>
          <w:p>
            <w:r>
              <w:rPr>
                <w:b w:val="false"/>
                <w:bCs w:val="false"/>
                <w:color w:val="2B2B2B"/>
                <w:sz w:val="20"/>
                <w:szCs w:val="20"/>
              </w:rPr>
              <w:t xml:space="preserve">Syntaxis Cyber</w:t>
            </w:r>
          </w:p>
        </w:tc>
        <w:tc>
          <w:tcPr>
            <w:tcW w:type="dxa" w:w="4500"/>
            <w:shd w:fill="FFFFFF" w:val="clear"/>
            <w:tcMar>
              <w:top w:type="dxa" w:w="100"/>
              <w:left w:type="dxa" w:w="140"/>
              <w:bottom w:type="dxa" w:w="100"/>
              <w:right w:type="dxa" w:w="140"/>
            </w:tcMar>
            <w:vAlign w:val="center"/>
          </w:tcPr>
          <w:p>
            <w:r>
              <w:rPr>
                <w:b w:val="false"/>
                <w:bCs w:val="false"/>
                <w:color w:val="2B2B2B"/>
                <w:sz w:val="20"/>
                <w:szCs w:val="20"/>
              </w:rPr>
              <w:t xml:space="preserve">“The Grammar of Secure Software.”</w:t>
            </w:r>
          </w:p>
        </w:tc>
      </w:tr>
    </w:tbl>
    <w:p>
      <w:r>
        <w:rPr>
          <w:i/>
          <w:iCs/>
          <w:color w:val="8C8C8C"/>
          <w:sz w:val="19"/>
          <w:szCs w:val="19"/>
        </w:rPr>
        <w:t xml:space="preserve">Trademark clearance and domain registration for Codeward Security are in progress; the two reserve options above remain available as fallback identities should a conflict surface.</w:t>
      </w:r>
    </w:p>
    <w:p>
      <w:pPr>
        <w:pStyle w:val="Heading2"/>
      </w:pPr>
      <w:r>
        <w:t xml:space="preserve">1.2 Mission Statement</w:t>
      </w:r>
    </w:p>
    <w:p>
      <w:pPr>
        <w:pBdr>
          <w:left w:val="single" w:color="A6192E" w:sz="24" w:space="14"/>
        </w:pBdr>
        <w:spacing w:after="240" w:before="160"/>
        <w:ind w:left="360"/>
      </w:pPr>
      <w:r>
        <w:rPr>
          <w:i/>
          <w:iCs/>
          <w:color w:val="404040"/>
          <w:sz w:val="23"/>
          <w:szCs w:val="23"/>
        </w:rPr>
        <w:t xml:space="preserve">Codeward Security exists to close the gap between the velocity of modern software engineering and the uncompromising security standards demanded by regulated, technology-driven industries. We do not merely flag vulnerabilities — we sit inside the pull request, the pipeline, and the architecture review, fixing security defects at the source so that every fintech platform, telecom carrier, healthcare system, and digital enterprise we touch ships fast and ships safe. Founded by engineers, built for engineers, trusted by regulators.</w:t>
      </w:r>
    </w:p>
    <w:p>
      <w:pPr>
        <w:pStyle w:val="Heading2"/>
      </w:pPr>
      <w:r>
        <w:t xml:space="preserve">1.3 Core Value Proposition</w:t>
      </w:r>
    </w:p>
    <w:p>
      <w:r>
        <w:t xml:space="preserve">Differentiation rests on three pillars that traditional, audit-only security consultancies cannot replicate, because they were not built by practitioners who have shipped production code under live PCI-DSS and SOC 2 pressure.</w:t>
      </w:r>
    </w:p>
    <w:p>
      <w:pPr>
        <w:pStyle w:val="Heading3"/>
      </w:pPr>
      <w:r>
        <w:t xml:space="preserve">Pillar A — AI-Assisted Secure Code Review</w:t>
      </w:r>
    </w:p>
    <w:p>
      <w:pPr>
        <w:pStyle w:val="ListParagraph"/>
        <w:numPr>
          <w:ilvl w:val="0"/>
          <w:numId w:val="2"/>
        </w:numPr>
      </w:pPr>
      <w:r>
        <w:rPr>
          <w:b/>
          <w:bCs/>
          <w:color w:val="1A1A1A"/>
        </w:rPr>
        <w:t xml:space="preserve">Hybrid review pipeline: </w:t>
      </w:r>
      <w:r>
        <w:t xml:space="preserve">human-led, LLM-assisted triage that drafts remediation patches and routes only true-positive, business-critical defects to senior security engineers.</w:t>
      </w:r>
    </w:p>
    <w:p>
      <w:pPr>
        <w:pStyle w:val="ListParagraph"/>
        <w:numPr>
          <w:ilvl w:val="0"/>
          <w:numId w:val="2"/>
        </w:numPr>
      </w:pPr>
      <w:r>
        <w:rPr>
          <w:b/>
          <w:bCs/>
          <w:color w:val="1A1A1A"/>
        </w:rPr>
        <w:t xml:space="preserve">Regulated-domain context: </w:t>
      </w:r>
      <w:r>
        <w:t xml:space="preserve">analysis models tuned to transaction logic, data integrity, and cryptographic key handling — calibrated for fintech, healthcare, telecom, and e-commerce data flows, not generic web-app vulnerability patterns.</w:t>
      </w:r>
    </w:p>
    <w:p>
      <w:pPr>
        <w:pStyle w:val="ListParagraph"/>
        <w:numPr>
          <w:ilvl w:val="0"/>
          <w:numId w:val="2"/>
        </w:numPr>
      </w:pPr>
      <w:r>
        <w:rPr>
          <w:b/>
          <w:bCs/>
          <w:color w:val="1A1A1A"/>
        </w:rPr>
        <w:t xml:space="preserve">Remediation-as-code: </w:t>
      </w:r>
      <w:r>
        <w:t xml:space="preserve">every finding ships with a proposed code-level fix, not just a CVE reference and a severity score.</w:t>
      </w:r>
    </w:p>
    <w:p>
      <w:pPr>
        <w:pStyle w:val="Heading3"/>
      </w:pPr>
      <w:r>
        <w:t xml:space="preserve">Pillar B — DevSecOps Pipeline Integration</w:t>
      </w:r>
    </w:p>
    <w:p>
      <w:pPr>
        <w:pStyle w:val="ListParagraph"/>
        <w:numPr>
          <w:ilvl w:val="0"/>
          <w:numId w:val="2"/>
        </w:numPr>
      </w:pPr>
      <w:r>
        <w:rPr>
          <w:b/>
          <w:bCs/>
          <w:color w:val="1A1A1A"/>
        </w:rPr>
        <w:t xml:space="preserve">Native pipeline gates: </w:t>
      </w:r>
      <w:r>
        <w:t xml:space="preserve">security checks embedded directly into GitHub Actions, GitLab CI, Jenkins, and CircleCI — no separate portal developers must context-switch into.</w:t>
      </w:r>
    </w:p>
    <w:p>
      <w:pPr>
        <w:pStyle w:val="ListParagraph"/>
        <w:numPr>
          <w:ilvl w:val="0"/>
          <w:numId w:val="2"/>
        </w:numPr>
      </w:pPr>
      <w:r>
        <w:rPr>
          <w:b/>
          <w:bCs/>
          <w:color w:val="1A1A1A"/>
        </w:rPr>
        <w:t xml:space="preserve">Policy-as-code guardrails: </w:t>
      </w:r>
      <w:r>
        <w:t xml:space="preserve">Open Policy Agent / Conftest rules that block insecure infrastructure-as-code and container images before merge, not after deployment.</w:t>
      </w:r>
    </w:p>
    <w:p>
      <w:pPr>
        <w:pStyle w:val="ListParagraph"/>
        <w:numPr>
          <w:ilvl w:val="0"/>
          <w:numId w:val="2"/>
        </w:numPr>
      </w:pPr>
      <w:r>
        <w:rPr>
          <w:b/>
          <w:bCs/>
          <w:color w:val="1A1A1A"/>
        </w:rPr>
        <w:t xml:space="preserve">MTTR as an engineering KPI: </w:t>
      </w:r>
      <w:r>
        <w:t xml:space="preserve">mean-time-to-remediate tracked and reported alongside deployment frequency and lead time for changes.</w:t>
      </w:r>
    </w:p>
    <w:p>
      <w:pPr>
        <w:pStyle w:val="Heading3"/>
      </w:pPr>
      <w:r>
        <w:t xml:space="preserve">Pillar C — API &amp; Transaction-Layer Security</w:t>
      </w:r>
    </w:p>
    <w:p>
      <w:pPr>
        <w:pStyle w:val="ListParagraph"/>
        <w:numPr>
          <w:ilvl w:val="0"/>
          <w:numId w:val="2"/>
        </w:numPr>
      </w:pPr>
      <w:r>
        <w:rPr>
          <w:b/>
          <w:bCs/>
          <w:color w:val="1A1A1A"/>
        </w:rPr>
        <w:t xml:space="preserve">Payment-rail specialization, broadly applied: </w:t>
      </w:r>
      <w:r>
        <w:t xml:space="preserve">deep expertise in REST, GraphQL, and ISO 20022 / SWIFT messaging security — the same transaction-integrity discipline that secures checkout flows, billing systems, and patient-record exchanges.</w:t>
      </w:r>
    </w:p>
    <w:p>
      <w:pPr>
        <w:pStyle w:val="ListParagraph"/>
        <w:numPr>
          <w:ilvl w:val="0"/>
          <w:numId w:val="2"/>
        </w:numPr>
      </w:pPr>
      <w:r>
        <w:rPr>
          <w:b/>
          <w:bCs/>
          <w:color w:val="1A1A1A"/>
        </w:rPr>
        <w:t xml:space="preserve">Fraud-vector testing: </w:t>
      </w:r>
      <w:r>
        <w:t xml:space="preserve">business-logic abuse testing for account takeover, transaction replay, ledger manipulation, and smart contract reentrancy.</w:t>
      </w:r>
    </w:p>
    <w:p>
      <w:pPr>
        <w:pStyle w:val="ListParagraph"/>
        <w:numPr>
          <w:ilvl w:val="0"/>
          <w:numId w:val="2"/>
        </w:numPr>
      </w:pPr>
      <w:r>
        <w:rPr>
          <w:b/>
          <w:bCs/>
          <w:color w:val="1A1A1A"/>
        </w:rPr>
        <w:t xml:space="preserve">Schema drift detection: </w:t>
      </w:r>
      <w:r>
        <w:t xml:space="preserve">continuous monitoring for shadow and zombie API endpoints before attackers find them.</w:t>
      </w:r>
    </w:p>
    <w:p>
      <w:pPr>
        <w:pStyle w:val="Heading2"/>
      </w:pPr>
      <w:r>
        <w:t xml:space="preserve">1.4 Geographic Footprint</w:t>
      </w:r>
    </w:p>
    <w:p>
      <w:r>
        <w:t xml:space="preserve">Codeward Security is architected as a global practice from inception, anchored by three regional pillars detailed fully in Section 4.</w:t>
      </w:r>
    </w:p>
    <w:p>
      <w:pPr>
        <w:pStyle w:val="ListParagraph"/>
        <w:numPr>
          <w:ilvl w:val="0"/>
          <w:numId w:val="2"/>
        </w:numPr>
      </w:pPr>
      <w:r>
        <w:rPr>
          <w:b/>
          <w:bCs/>
          <w:color w:val="1A1A1A"/>
        </w:rPr>
        <w:t xml:space="preserve">North America: </w:t>
      </w:r>
      <w:r>
        <w:t xml:space="preserve">primary launch market and engineering base, anchored in PCI-DSS, SOC 2, and GLBA-driven fintech and banking demand.</w:t>
      </w:r>
    </w:p>
    <w:p>
      <w:pPr>
        <w:pStyle w:val="ListParagraph"/>
        <w:numPr>
          <w:ilvl w:val="0"/>
          <w:numId w:val="2"/>
        </w:numPr>
      </w:pPr>
      <w:r>
        <w:rPr>
          <w:b/>
          <w:bCs/>
          <w:color w:val="1A1A1A"/>
        </w:rPr>
        <w:t xml:space="preserve">Europe: </w:t>
      </w:r>
      <w:r>
        <w:t xml:space="preserve">a regulatory-depth entry wedge built around DORA, NIS2, and GDPR — the most mature binding financial-cyber regime in the world.</w:t>
      </w:r>
    </w:p>
    <w:p>
      <w:pPr>
        <w:pStyle w:val="ListParagraph"/>
        <w:numPr>
          <w:ilvl w:val="0"/>
          <w:numId w:val="2"/>
        </w:numPr>
      </w:pPr>
      <w:r>
        <w:rPr>
          <w:b/>
          <w:bCs/>
          <w:color w:val="1A1A1A"/>
        </w:rPr>
        <w:t xml:space="preserve">Africa: </w:t>
      </w:r>
      <w:r>
        <w:t xml:space="preserve">a mobile-first growth wedge serving the continent's fast-growing, mobile-money-led fintech ecosystems across Nigeria, Kenya, South Africa, and beyond.</w:t>
      </w:r>
    </w:p>
    <w:p>
      <w:pPr>
        <w:pStyle w:val="Heading2"/>
      </w:pPr>
      <w:r>
        <w:t xml:space="preserve">1.5 Industries Served</w:t>
      </w:r>
    </w:p>
    <w:p>
      <w:r>
        <w:t xml:space="preserve">Codeward Security was founded inside financial services, and fintech remains the firm's flagship vertical — it is where the deepest regulatory expertise, competitive positioning, and proof points live. But the underlying thesis (security engineered into the SDLC, not bolted on after release) applies anywhere an organization ships production software and handles sensitive data. The practice is structured to serve adjacent regulated and technology-driven industries from day one.</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400"/>
        <w:gridCol w:w="3760"/>
        <w:gridCol w:w="3200"/>
      </w:tblGrid>
      <w:tr>
        <w:trPr>
          <w:tblHeader/>
        </w:trPr>
        <w:tc>
          <w:tcPr>
            <w:tcW w:type="dxa" w:w="2400"/>
            <w:shd w:fill="1A1A1A" w:val="clear"/>
            <w:tcMar>
              <w:top w:type="dxa" w:w="100"/>
              <w:left w:type="dxa" w:w="140"/>
              <w:bottom w:type="dxa" w:w="100"/>
              <w:right w:type="dxa" w:w="140"/>
            </w:tcMar>
            <w:vAlign w:val="center"/>
          </w:tcPr>
          <w:p>
            <w:r>
              <w:rPr>
                <w:b/>
                <w:bCs/>
                <w:color w:val="FFFFFF"/>
                <w:sz w:val="20"/>
                <w:szCs w:val="20"/>
              </w:rPr>
              <w:t xml:space="preserve">Industry</w:t>
            </w:r>
          </w:p>
        </w:tc>
        <w:tc>
          <w:tcPr>
            <w:tcW w:type="dxa" w:w="3760"/>
            <w:shd w:fill="1A1A1A" w:val="clear"/>
            <w:tcMar>
              <w:top w:type="dxa" w:w="100"/>
              <w:left w:type="dxa" w:w="140"/>
              <w:bottom w:type="dxa" w:w="100"/>
              <w:right w:type="dxa" w:w="140"/>
            </w:tcMar>
            <w:vAlign w:val="center"/>
          </w:tcPr>
          <w:p>
            <w:r>
              <w:rPr>
                <w:b/>
                <w:bCs/>
                <w:color w:val="FFFFFF"/>
                <w:sz w:val="20"/>
                <w:szCs w:val="20"/>
              </w:rPr>
              <w:t xml:space="preserve">Why It Fits</w:t>
            </w:r>
          </w:p>
        </w:tc>
        <w:tc>
          <w:tcPr>
            <w:tcW w:type="dxa" w:w="3200"/>
            <w:shd w:fill="1A1A1A" w:val="clear"/>
            <w:tcMar>
              <w:top w:type="dxa" w:w="100"/>
              <w:left w:type="dxa" w:w="140"/>
              <w:bottom w:type="dxa" w:w="100"/>
              <w:right w:type="dxa" w:w="140"/>
            </w:tcMar>
            <w:vAlign w:val="center"/>
          </w:tcPr>
          <w:p>
            <w:r>
              <w:rPr>
                <w:b/>
                <w:bCs/>
                <w:color w:val="FFFFFF"/>
                <w:sz w:val="20"/>
                <w:szCs w:val="20"/>
              </w:rPr>
              <w:t xml:space="preserve">Representative Compliance Drivers</w:t>
            </w:r>
          </w:p>
        </w:tc>
      </w:tr>
      <w:tr>
        <w:tc>
          <w:tcPr>
            <w:tcW w:type="dxa" w:w="2400"/>
            <w:shd w:fill="FFFFFF" w:val="clear"/>
            <w:tcMar>
              <w:top w:type="dxa" w:w="100"/>
              <w:left w:type="dxa" w:w="140"/>
              <w:bottom w:type="dxa" w:w="100"/>
              <w:right w:type="dxa" w:w="140"/>
            </w:tcMar>
            <w:vAlign w:val="center"/>
          </w:tcPr>
          <w:p>
            <w:r>
              <w:rPr>
                <w:b w:val="false"/>
                <w:bCs w:val="false"/>
                <w:color w:val="2B2B2B"/>
                <w:sz w:val="20"/>
                <w:szCs w:val="20"/>
              </w:rPr>
              <w:t xml:space="preserve">Financial Services &amp; Fintech (Flagship)</w:t>
            </w:r>
          </w:p>
        </w:tc>
        <w:tc>
          <w:tcPr>
            <w:tcW w:type="dxa" w:w="3760"/>
            <w:shd w:fill="FFFFFF" w:val="clear"/>
            <w:tcMar>
              <w:top w:type="dxa" w:w="100"/>
              <w:left w:type="dxa" w:w="140"/>
              <w:bottom w:type="dxa" w:w="100"/>
              <w:right w:type="dxa" w:w="140"/>
            </w:tcMar>
            <w:vAlign w:val="center"/>
          </w:tcPr>
          <w:p>
            <w:r>
              <w:rPr>
                <w:b w:val="false"/>
                <w:bCs w:val="false"/>
                <w:color w:val="2B2B2B"/>
                <w:sz w:val="20"/>
                <w:szCs w:val="20"/>
              </w:rPr>
              <w:t xml:space="preserve">Payment systems, neo-banks, and DeFi protocols — the firm's founding specialization and deepest proof points.</w:t>
            </w:r>
          </w:p>
        </w:tc>
        <w:tc>
          <w:tcPr>
            <w:tcW w:type="dxa" w:w="3200"/>
            <w:shd w:fill="FFFFFF" w:val="clear"/>
            <w:tcMar>
              <w:top w:type="dxa" w:w="100"/>
              <w:left w:type="dxa" w:w="140"/>
              <w:bottom w:type="dxa" w:w="100"/>
              <w:right w:type="dxa" w:w="140"/>
            </w:tcMar>
            <w:vAlign w:val="center"/>
          </w:tcPr>
          <w:p>
            <w:r>
              <w:rPr>
                <w:b w:val="false"/>
                <w:bCs w:val="false"/>
                <w:color w:val="2B2B2B"/>
                <w:sz w:val="20"/>
                <w:szCs w:val="20"/>
              </w:rPr>
              <w:t xml:space="preserve">PCI-DSS, SOC 2, DORA, NIS2, GLBA</w:t>
            </w:r>
          </w:p>
        </w:tc>
      </w:tr>
      <w:tr>
        <w:tc>
          <w:tcPr>
            <w:tcW w:type="dxa" w:w="2400"/>
            <w:shd w:fill="E9E9E9" w:val="clear"/>
            <w:tcMar>
              <w:top w:type="dxa" w:w="100"/>
              <w:left w:type="dxa" w:w="140"/>
              <w:bottom w:type="dxa" w:w="100"/>
              <w:right w:type="dxa" w:w="140"/>
            </w:tcMar>
            <w:vAlign w:val="center"/>
          </w:tcPr>
          <w:p>
            <w:r>
              <w:rPr>
                <w:b w:val="false"/>
                <w:bCs w:val="false"/>
                <w:color w:val="2B2B2B"/>
                <w:sz w:val="20"/>
                <w:szCs w:val="20"/>
              </w:rPr>
              <w:t xml:space="preserve">Telecom &amp; Mobile Network Operators</w:t>
            </w:r>
          </w:p>
        </w:tc>
        <w:tc>
          <w:tcPr>
            <w:tcW w:type="dxa" w:w="3760"/>
            <w:shd w:fill="E9E9E9" w:val="clear"/>
            <w:tcMar>
              <w:top w:type="dxa" w:w="100"/>
              <w:left w:type="dxa" w:w="140"/>
              <w:bottom w:type="dxa" w:w="100"/>
              <w:right w:type="dxa" w:w="140"/>
            </w:tcMar>
            <w:vAlign w:val="center"/>
          </w:tcPr>
          <w:p>
            <w:r>
              <w:rPr>
                <w:b w:val="false"/>
                <w:bCs w:val="false"/>
                <w:color w:val="2B2B2B"/>
                <w:sz w:val="20"/>
                <w:szCs w:val="20"/>
              </w:rPr>
              <w:t xml:space="preserve">Mobile money, USSD, and billing-system security for carriers and MVNOs, building directly on the firm's African mobile-money expertise.</w:t>
            </w:r>
          </w:p>
        </w:tc>
        <w:tc>
          <w:tcPr>
            <w:tcW w:type="dxa" w:w="3200"/>
            <w:shd w:fill="E9E9E9" w:val="clear"/>
            <w:tcMar>
              <w:top w:type="dxa" w:w="100"/>
              <w:left w:type="dxa" w:w="140"/>
              <w:bottom w:type="dxa" w:w="100"/>
              <w:right w:type="dxa" w:w="140"/>
            </w:tcMar>
            <w:vAlign w:val="center"/>
          </w:tcPr>
          <w:p>
            <w:r>
              <w:rPr>
                <w:b w:val="false"/>
                <w:bCs w:val="false"/>
                <w:color w:val="2B2B2B"/>
                <w:sz w:val="20"/>
                <w:szCs w:val="20"/>
              </w:rPr>
              <w:t xml:space="preserve">NIS2 (telecom is a covered essential-entity sector), GSMA certifications, national telecom regulators</w:t>
            </w:r>
          </w:p>
        </w:tc>
      </w:tr>
      <w:tr>
        <w:tc>
          <w:tcPr>
            <w:tcW w:type="dxa" w:w="2400"/>
            <w:shd w:fill="FFFFFF" w:val="clear"/>
            <w:tcMar>
              <w:top w:type="dxa" w:w="100"/>
              <w:left w:type="dxa" w:w="140"/>
              <w:bottom w:type="dxa" w:w="100"/>
              <w:right w:type="dxa" w:w="140"/>
            </w:tcMar>
            <w:vAlign w:val="center"/>
          </w:tcPr>
          <w:p>
            <w:r>
              <w:rPr>
                <w:b w:val="false"/>
                <w:bCs w:val="false"/>
                <w:color w:val="2B2B2B"/>
                <w:sz w:val="20"/>
                <w:szCs w:val="20"/>
              </w:rPr>
              <w:t xml:space="preserve">Healthcare &amp; Healthtech</w:t>
            </w:r>
          </w:p>
        </w:tc>
        <w:tc>
          <w:tcPr>
            <w:tcW w:type="dxa" w:w="3760"/>
            <w:shd w:fill="FFFFFF" w:val="clear"/>
            <w:tcMar>
              <w:top w:type="dxa" w:w="100"/>
              <w:left w:type="dxa" w:w="140"/>
              <w:bottom w:type="dxa" w:w="100"/>
              <w:right w:type="dxa" w:w="140"/>
            </w:tcMar>
            <w:vAlign w:val="center"/>
          </w:tcPr>
          <w:p>
            <w:r>
              <w:rPr>
                <w:b w:val="false"/>
                <w:bCs w:val="false"/>
                <w:color w:val="2B2B2B"/>
                <w:sz w:val="20"/>
                <w:szCs w:val="20"/>
              </w:rPr>
              <w:t xml:space="preserve">Patient data, claims systems, and connected medical software demand the same data-integrity rigor as financial ledgers.</w:t>
            </w:r>
          </w:p>
        </w:tc>
        <w:tc>
          <w:tcPr>
            <w:tcW w:type="dxa" w:w="3200"/>
            <w:shd w:fill="FFFFFF" w:val="clear"/>
            <w:tcMar>
              <w:top w:type="dxa" w:w="100"/>
              <w:left w:type="dxa" w:w="140"/>
              <w:bottom w:type="dxa" w:w="100"/>
              <w:right w:type="dxa" w:w="140"/>
            </w:tcMar>
            <w:vAlign w:val="center"/>
          </w:tcPr>
          <w:p>
            <w:r>
              <w:rPr>
                <w:b w:val="false"/>
                <w:bCs w:val="false"/>
                <w:color w:val="2B2B2B"/>
                <w:sz w:val="20"/>
                <w:szCs w:val="20"/>
              </w:rPr>
              <w:t xml:space="preserve">HIPAA / HITECH (U.S.), NIS2 (healthcare is also a covered essential-entity sector), regional health-data regulations</w:t>
            </w:r>
          </w:p>
        </w:tc>
      </w:tr>
      <w:tr>
        <w:tc>
          <w:tcPr>
            <w:tcW w:type="dxa" w:w="2400"/>
            <w:shd w:fill="E9E9E9" w:val="clear"/>
            <w:tcMar>
              <w:top w:type="dxa" w:w="100"/>
              <w:left w:type="dxa" w:w="140"/>
              <w:bottom w:type="dxa" w:w="100"/>
              <w:right w:type="dxa" w:w="140"/>
            </w:tcMar>
            <w:vAlign w:val="center"/>
          </w:tcPr>
          <w:p>
            <w:r>
              <w:rPr>
                <w:b w:val="false"/>
                <w:bCs w:val="false"/>
                <w:color w:val="2B2B2B"/>
                <w:sz w:val="20"/>
                <w:szCs w:val="20"/>
              </w:rPr>
              <w:t xml:space="preserve">E-Commerce &amp; Retail Technology</w:t>
            </w:r>
          </w:p>
        </w:tc>
        <w:tc>
          <w:tcPr>
            <w:tcW w:type="dxa" w:w="3760"/>
            <w:shd w:fill="E9E9E9" w:val="clear"/>
            <w:tcMar>
              <w:top w:type="dxa" w:w="100"/>
              <w:left w:type="dxa" w:w="140"/>
              <w:bottom w:type="dxa" w:w="100"/>
              <w:right w:type="dxa" w:w="140"/>
            </w:tcMar>
            <w:vAlign w:val="center"/>
          </w:tcPr>
          <w:p>
            <w:r>
              <w:rPr>
                <w:b w:val="false"/>
                <w:bCs w:val="false"/>
                <w:color w:val="2B2B2B"/>
                <w:sz w:val="20"/>
                <w:szCs w:val="20"/>
              </w:rPr>
              <w:t xml:space="preserve">Checkout flows, payment integrations, and customer data at scale share the firm's core API and transaction-layer specialization.</w:t>
            </w:r>
          </w:p>
        </w:tc>
        <w:tc>
          <w:tcPr>
            <w:tcW w:type="dxa" w:w="3200"/>
            <w:shd w:fill="E9E9E9" w:val="clear"/>
            <w:tcMar>
              <w:top w:type="dxa" w:w="100"/>
              <w:left w:type="dxa" w:w="140"/>
              <w:bottom w:type="dxa" w:w="100"/>
              <w:right w:type="dxa" w:w="140"/>
            </w:tcMar>
            <w:vAlign w:val="center"/>
          </w:tcPr>
          <w:p>
            <w:r>
              <w:rPr>
                <w:b w:val="false"/>
                <w:bCs w:val="false"/>
                <w:color w:val="2B2B2B"/>
                <w:sz w:val="20"/>
                <w:szCs w:val="20"/>
              </w:rPr>
              <w:t xml:space="preserve">PCI-DSS, GDPR/CCPA-style consumer privacy regulations</w:t>
            </w:r>
          </w:p>
        </w:tc>
      </w:tr>
      <w:tr>
        <w:tc>
          <w:tcPr>
            <w:tcW w:type="dxa" w:w="2400"/>
            <w:shd w:fill="FFFFFF" w:val="clear"/>
            <w:tcMar>
              <w:top w:type="dxa" w:w="100"/>
              <w:left w:type="dxa" w:w="140"/>
              <w:bottom w:type="dxa" w:w="100"/>
              <w:right w:type="dxa" w:w="140"/>
            </w:tcMar>
            <w:vAlign w:val="center"/>
          </w:tcPr>
          <w:p>
            <w:r>
              <w:rPr>
                <w:b w:val="false"/>
                <w:bCs w:val="false"/>
                <w:color w:val="2B2B2B"/>
                <w:sz w:val="20"/>
                <w:szCs w:val="20"/>
              </w:rPr>
              <w:t xml:space="preserve">Enterprise Technology &amp; SaaS</w:t>
            </w:r>
          </w:p>
        </w:tc>
        <w:tc>
          <w:tcPr>
            <w:tcW w:type="dxa" w:w="3760"/>
            <w:shd w:fill="FFFFFF" w:val="clear"/>
            <w:tcMar>
              <w:top w:type="dxa" w:w="100"/>
              <w:left w:type="dxa" w:w="140"/>
              <w:bottom w:type="dxa" w:w="100"/>
              <w:right w:type="dxa" w:w="140"/>
            </w:tcMar>
            <w:vAlign w:val="center"/>
          </w:tcPr>
          <w:p>
            <w:r>
              <w:rPr>
                <w:b w:val="false"/>
                <w:bCs w:val="false"/>
                <w:color w:val="2B2B2B"/>
                <w:sz w:val="20"/>
                <w:szCs w:val="20"/>
              </w:rPr>
              <w:t xml:space="preserve">Any organization shipping production software through a real CI/CD pipeline benefits from the same engineering-embedded model.</w:t>
            </w:r>
          </w:p>
        </w:tc>
        <w:tc>
          <w:tcPr>
            <w:tcW w:type="dxa" w:w="3200"/>
            <w:shd w:fill="FFFFFF" w:val="clear"/>
            <w:tcMar>
              <w:top w:type="dxa" w:w="100"/>
              <w:left w:type="dxa" w:w="140"/>
              <w:bottom w:type="dxa" w:w="100"/>
              <w:right w:type="dxa" w:w="140"/>
            </w:tcMar>
            <w:vAlign w:val="center"/>
          </w:tcPr>
          <w:p>
            <w:r>
              <w:rPr>
                <w:b w:val="false"/>
                <w:bCs w:val="false"/>
                <w:color w:val="2B2B2B"/>
                <w:sz w:val="20"/>
                <w:szCs w:val="20"/>
              </w:rPr>
              <w:t xml:space="preserve">SOC 2, ISO 27001</w:t>
            </w:r>
          </w:p>
        </w:tc>
      </w:tr>
    </w:tbl>
    <w:p>
      <w:r>
        <w:br w:type="page"/>
      </w:r>
    </w:p>
    <w:p>
      <w:pPr>
        <w:pStyle w:val="Heading1"/>
      </w:pPr>
      <w:r>
        <w:t xml:space="preserve">2. Software-Centric Security Services Portfolio</w:t>
      </w:r>
    </w:p>
    <w:p>
      <w:r>
        <w:t xml:space="preserve">The portfolio is organized around the software development lifecycle (SDLC) rather than around generic security domains — reflecting the firm's core thesis that security is a property of how software is built, not an artifact bolted on after release. Service lines were proven in fintech first and are equally applicable across the firm's adjacent industries (see Section 1.5).</w:t>
      </w:r>
    </w:p>
    <w:p>
      <w:pPr>
        <w:pStyle w:val="Heading2"/>
      </w:pPr>
      <w:r>
        <w:t xml:space="preserve">2.1 Application Security (AppSec) &amp; Code Audit</w:t>
      </w:r>
    </w:p>
    <w:p>
      <w:r>
        <w:t xml:space="preserve">Source-level assurance across the full SDLC, anchored in manual expertise and automated tooling working in tandem.</w:t>
      </w:r>
    </w:p>
    <w:p>
      <w:pPr>
        <w:pStyle w:val="ListParagraph"/>
        <w:numPr>
          <w:ilvl w:val="0"/>
          <w:numId w:val="2"/>
        </w:numPr>
      </w:pPr>
      <w:r>
        <w:t xml:space="preserve">Static Application Security Testing (SAST): line-by-line source analysis for injection flaws, insecure cryptography, hardcoded secrets, and authentication logic errors.</w:t>
      </w:r>
    </w:p>
    <w:p>
      <w:pPr>
        <w:pStyle w:val="ListParagraph"/>
        <w:numPr>
          <w:ilvl w:val="0"/>
          <w:numId w:val="2"/>
        </w:numPr>
      </w:pPr>
      <w:r>
        <w:t xml:space="preserve">Dynamic Application Security Testing (DAST): black-box and authenticated runtime testing of staging and pre-production environments to validate real-world exploitability.</w:t>
      </w:r>
    </w:p>
    <w:p>
      <w:pPr>
        <w:pStyle w:val="ListParagraph"/>
        <w:numPr>
          <w:ilvl w:val="0"/>
          <w:numId w:val="2"/>
        </w:numPr>
      </w:pPr>
      <w:r>
        <w:t xml:space="preserve">Software Composition Analysis (SCA): continuous inventory and risk-scoring of open-source dependencies, transitive packages, and license-compliance exposure.</w:t>
      </w:r>
    </w:p>
    <w:p>
      <w:pPr>
        <w:pStyle w:val="ListParagraph"/>
        <w:numPr>
          <w:ilvl w:val="0"/>
          <w:numId w:val="2"/>
        </w:numPr>
      </w:pPr>
      <w:r>
        <w:t xml:space="preserve">Manual secure code review performed by engineers with production fintech experience, focused on business logic, not just pattern matching.</w:t>
      </w:r>
    </w:p>
    <w:p>
      <w:pPr>
        <w:pStyle w:val="ListParagraph"/>
        <w:numPr>
          <w:ilvl w:val="0"/>
          <w:numId w:val="2"/>
        </w:numPr>
      </w:pPr>
      <w:r>
        <w:t xml:space="preserve">Secrets and credential scanning across repositories, commit history, and CI/CD logs.</w:t>
      </w:r>
    </w:p>
    <w:p>
      <w:pPr>
        <w:pStyle w:val="ListParagraph"/>
        <w:numPr>
          <w:ilvl w:val="0"/>
          <w:numId w:val="2"/>
        </w:numPr>
      </w:pPr>
      <w:r>
        <w:t xml:space="preserve">Secure SDLC maturity assessments benchmarked against OWASP SAMM and BSIMM.</w:t>
      </w:r>
    </w:p>
    <w:p>
      <w:pPr>
        <w:pStyle w:val="Heading2"/>
      </w:pPr>
      <w:r>
        <w:t xml:space="preserve">2.2 DevSecOps-as-a-Service</w:t>
      </w:r>
    </w:p>
    <w:p>
      <w:r>
        <w:t xml:space="preserve">Security is embedded as code directly into engineering workflows so financial applications are “born secure” rather than retrofitted.</w:t>
      </w:r>
    </w:p>
    <w:p>
      <w:pPr>
        <w:pStyle w:val="ListParagraph"/>
        <w:numPr>
          <w:ilvl w:val="0"/>
          <w:numId w:val="2"/>
        </w:numPr>
      </w:pPr>
      <w:r>
        <w:t xml:space="preserve">CI/CD pipeline instrumentation across GitHub Actions, GitLab CI, Jenkins, and Azure DevOps with automated security gates at commit, build, and deploy stages.</w:t>
      </w:r>
    </w:p>
    <w:p>
      <w:pPr>
        <w:pStyle w:val="ListParagraph"/>
        <w:numPr>
          <w:ilvl w:val="0"/>
          <w:numId w:val="2"/>
        </w:numPr>
      </w:pPr>
      <w:r>
        <w:t xml:space="preserve">Infrastructure-as-Code (IaC) scanning for Terraform, CloudFormation, and Pulumi configurations prior to provisioning.</w:t>
      </w:r>
    </w:p>
    <w:p>
      <w:pPr>
        <w:pStyle w:val="ListParagraph"/>
        <w:numPr>
          <w:ilvl w:val="0"/>
          <w:numId w:val="2"/>
        </w:numPr>
      </w:pPr>
      <w:r>
        <w:t xml:space="preserve">Container image hardening and signed-artifact enforcement (Cosign / Sigstore) to guarantee supply-chain integrity.</w:t>
      </w:r>
    </w:p>
    <w:p>
      <w:pPr>
        <w:pStyle w:val="ListParagraph"/>
        <w:numPr>
          <w:ilvl w:val="0"/>
          <w:numId w:val="2"/>
        </w:numPr>
      </w:pPr>
      <w:r>
        <w:t xml:space="preserve">Policy-as-code guardrails that fail builds automatically on critical or high-severity findings, with developer-friendly inline remediation guidance.</w:t>
      </w:r>
    </w:p>
    <w:p>
      <w:pPr>
        <w:pStyle w:val="ListParagraph"/>
        <w:numPr>
          <w:ilvl w:val="0"/>
          <w:numId w:val="2"/>
        </w:numPr>
      </w:pPr>
      <w:r>
        <w:t xml:space="preserve">Security champions program embedding trained engineers within client development squads to sustain the practice post-engagement.</w:t>
      </w:r>
    </w:p>
    <w:p>
      <w:pPr>
        <w:pStyle w:val="ListParagraph"/>
        <w:numPr>
          <w:ilvl w:val="0"/>
          <w:numId w:val="2"/>
        </w:numPr>
      </w:pPr>
      <w:r>
        <w:t xml:space="preserve">Software Bill of Materials (SBOM) generation and continuous monitoring for every release artifact.</w:t>
      </w:r>
    </w:p>
    <w:p>
      <w:pPr>
        <w:pStyle w:val="Heading2"/>
      </w:pPr>
      <w:r>
        <w:t xml:space="preserve">2.3 API &amp; Cloud-Native Security</w:t>
      </w:r>
    </w:p>
    <w:p>
      <w:r>
        <w:t xml:space="preserve">Modern fintech infrastructure lives in distributed, ephemeral, API-first environments — hardening practices are built natively for that reality.</w:t>
      </w:r>
    </w:p>
    <w:p>
      <w:pPr>
        <w:pStyle w:val="ListParagraph"/>
        <w:numPr>
          <w:ilvl w:val="0"/>
          <w:numId w:val="2"/>
        </w:numPr>
      </w:pPr>
      <w:r>
        <w:t xml:space="preserve">REST and GraphQL API security testing: authorization bypass, mass assignment, broken object-level authorization (BOLA), and rate-limit evasion.</w:t>
      </w:r>
    </w:p>
    <w:p>
      <w:pPr>
        <w:pStyle w:val="ListParagraph"/>
        <w:numPr>
          <w:ilvl w:val="0"/>
          <w:numId w:val="2"/>
        </w:numPr>
      </w:pPr>
      <w:r>
        <w:t xml:space="preserve">Microservices security architecture review across Kubernetes and Docker, including service-mesh (Istio/Linkerd) mTLS enforcement.</w:t>
      </w:r>
    </w:p>
    <w:p>
      <w:pPr>
        <w:pStyle w:val="ListParagraph"/>
        <w:numPr>
          <w:ilvl w:val="0"/>
          <w:numId w:val="2"/>
        </w:numPr>
      </w:pPr>
      <w:r>
        <w:t xml:space="preserve">Cloud-native infrastructure hardening for AWS, Azure (including Azure Financial Services Cloud configurations), and GCP, mapped to CIS Benchmarks.</w:t>
      </w:r>
    </w:p>
    <w:p>
      <w:pPr>
        <w:pStyle w:val="ListParagraph"/>
        <w:numPr>
          <w:ilvl w:val="0"/>
          <w:numId w:val="2"/>
        </w:numPr>
      </w:pPr>
      <w:r>
        <w:t xml:space="preserve">Identity and access management (IAM) least-privilege design and entitlement reviews across multi-account / multi-subscription environments.</w:t>
      </w:r>
    </w:p>
    <w:p>
      <w:pPr>
        <w:pStyle w:val="ListParagraph"/>
        <w:numPr>
          <w:ilvl w:val="0"/>
          <w:numId w:val="2"/>
        </w:numPr>
      </w:pPr>
      <w:r>
        <w:t xml:space="preserve">Secrets management architecture (HashiCorp Vault, AWS Secrets Manager, Azure Key Vault) with automated rotation policies.</w:t>
      </w:r>
    </w:p>
    <w:p>
      <w:pPr>
        <w:pStyle w:val="ListParagraph"/>
        <w:numPr>
          <w:ilvl w:val="0"/>
          <w:numId w:val="2"/>
        </w:numPr>
      </w:pPr>
      <w:r>
        <w:t xml:space="preserve">Zero-trust network segmentation design for payment-processing environments.</w:t>
      </w:r>
    </w:p>
    <w:p>
      <w:pPr>
        <w:pStyle w:val="Heading2"/>
      </w:pPr>
      <w:r>
        <w:t xml:space="preserve">2.4 Offensive Security (Red Teaming)</w:t>
      </w:r>
    </w:p>
    <w:p>
      <w:r>
        <w:t xml:space="preserve">Adversarial testing engineered specifically for the threat models that target financial transaction systems, not generic corporate networks.</w:t>
      </w:r>
    </w:p>
    <w:p>
      <w:pPr>
        <w:pStyle w:val="ListParagraph"/>
        <w:numPr>
          <w:ilvl w:val="0"/>
          <w:numId w:val="2"/>
        </w:numPr>
      </w:pPr>
      <w:r>
        <w:t xml:space="preserve">Fintech-focused penetration testing of web, mobile, and API attack surfaces, including payment gateway and core banking integrations.</w:t>
      </w:r>
    </w:p>
    <w:p>
      <w:pPr>
        <w:pStyle w:val="ListParagraph"/>
        <w:numPr>
          <w:ilvl w:val="0"/>
          <w:numId w:val="2"/>
        </w:numPr>
      </w:pPr>
      <w:r>
        <w:t xml:space="preserve">Smart contract auditing for DeFi protocols: reentrancy, oracle manipulation, flash-loan exploits, integer overflow, and access-control flaws.</w:t>
      </w:r>
    </w:p>
    <w:p>
      <w:pPr>
        <w:pStyle w:val="ListParagraph"/>
        <w:numPr>
          <w:ilvl w:val="0"/>
          <w:numId w:val="2"/>
        </w:numPr>
      </w:pPr>
      <w:r>
        <w:t xml:space="preserve">Threat modeling using the STRIDE methodology, integrated directly into architecture and design-review sprints.</w:t>
      </w:r>
    </w:p>
    <w:p>
      <w:pPr>
        <w:pStyle w:val="ListParagraph"/>
        <w:numPr>
          <w:ilvl w:val="0"/>
          <w:numId w:val="2"/>
        </w:numPr>
      </w:pPr>
      <w:r>
        <w:t xml:space="preserve">Business logic flaw discovery: transaction sequencing abuse, race conditions in balance updates, and authorization workflow bypass.</w:t>
      </w:r>
    </w:p>
    <w:p>
      <w:pPr>
        <w:pStyle w:val="ListParagraph"/>
        <w:numPr>
          <w:ilvl w:val="0"/>
          <w:numId w:val="2"/>
        </w:numPr>
      </w:pPr>
      <w:r>
        <w:t xml:space="preserve">Red team / purple team exercises simulating organized financial-crime tactics, techniques, and procedures (TTPs).</w:t>
      </w:r>
    </w:p>
    <w:p>
      <w:pPr>
        <w:pStyle w:val="ListParagraph"/>
        <w:numPr>
          <w:ilvl w:val="0"/>
          <w:numId w:val="2"/>
        </w:numPr>
      </w:pPr>
      <w:r>
        <w:t xml:space="preserve">Social engineering and physical security assessments for institutions handling CBDC or national payment infrastructure.</w:t>
      </w:r>
    </w:p>
    <w:p>
      <w:pPr>
        <w:pStyle w:val="Heading2"/>
      </w:pPr>
      <w:r>
        <w:t xml:space="preserve">2.5 GRC &amp; Regulatory Compliance</w:t>
      </w:r>
    </w:p>
    <w:p>
      <w:r>
        <w:t xml:space="preserve">Compliance engineered as a byproduct of secure architecture, not a paperwork exercise bolted onto an annual audit cycle. Programs are built modularly across jurisdictions and industries rather than templated from a single home-market framework.</w:t>
      </w:r>
    </w:p>
    <w:p>
      <w:pPr>
        <w:pStyle w:val="ListParagraph"/>
        <w:numPr>
          <w:ilvl w:val="0"/>
          <w:numId w:val="2"/>
        </w:numPr>
      </w:pPr>
      <w:r>
        <w:t xml:space="preserve">PCI-DSS v4.0 readiness assessment and gap remediation for payment card environments, spanning fintech and e-commerce alike.</w:t>
      </w:r>
    </w:p>
    <w:p>
      <w:pPr>
        <w:pStyle w:val="ListParagraph"/>
        <w:numPr>
          <w:ilvl w:val="0"/>
          <w:numId w:val="2"/>
        </w:numPr>
      </w:pPr>
      <w:r>
        <w:t xml:space="preserve">SOC 2 Type II readiness, control design, and continuous evidence collection automation.</w:t>
      </w:r>
    </w:p>
    <w:p>
      <w:pPr>
        <w:pStyle w:val="ListParagraph"/>
        <w:numPr>
          <w:ilvl w:val="0"/>
          <w:numId w:val="2"/>
        </w:numPr>
      </w:pPr>
      <w:r>
        <w:t xml:space="preserve">DORA (Digital Operational Resilience Act) and NIS2 readiness for EU-regulated and EU-adjacent entities — including financial, telecom, and healthcare essential entities — with ICT third-party risk, Threat-Led Penetration Testing (TLPT) support, and incident-reporting frameworks.</w:t>
      </w:r>
    </w:p>
    <w:p>
      <w:pPr>
        <w:pStyle w:val="ListParagraph"/>
        <w:numPr>
          <w:ilvl w:val="0"/>
          <w:numId w:val="2"/>
        </w:numPr>
      </w:pPr>
      <w:r>
        <w:t xml:space="preserve">HIPAA and HITECH compliance support for healthcare and healthtech clients handling protected health information.</w:t>
      </w:r>
    </w:p>
    <w:p>
      <w:pPr>
        <w:pStyle w:val="ListParagraph"/>
        <w:numPr>
          <w:ilvl w:val="0"/>
          <w:numId w:val="2"/>
        </w:numPr>
      </w:pPr>
      <w:r>
        <w:t xml:space="preserve">GLBA Safeguards Rule compliance for U.S. financial institutions handling nonpublic personal information.</w:t>
      </w:r>
    </w:p>
    <w:p>
      <w:pPr>
        <w:pStyle w:val="ListParagraph"/>
        <w:numPr>
          <w:ilvl w:val="0"/>
          <w:numId w:val="2"/>
        </w:numPr>
      </w:pPr>
      <w:r>
        <w:t xml:space="preserve">ISO 27001 implementation and certification support.</w:t>
      </w:r>
    </w:p>
    <w:p>
      <w:pPr>
        <w:pStyle w:val="ListParagraph"/>
        <w:numPr>
          <w:ilvl w:val="0"/>
          <w:numId w:val="2"/>
        </w:numPr>
      </w:pPr>
      <w:r>
        <w:t xml:space="preserve">African data-protection and sector-specific compliance programs spanning Nigeria's NDPA and CBN cybersecurity frameworks, South Africa's POPIA, and Kenya's Data Protection Act.</w:t>
      </w:r>
    </w:p>
    <w:p>
      <w:pPr>
        <w:pStyle w:val="ListParagraph"/>
        <w:numPr>
          <w:ilvl w:val="0"/>
          <w:numId w:val="2"/>
        </w:numPr>
      </w:pPr>
      <w:r>
        <w:t xml:space="preserve">Vendor and third-party risk management programs, including Open Banking (PSD2/PSD3 and regional equivalents) API conformance assessments.</w:t>
      </w:r>
    </w:p>
    <w:p>
      <w:pPr>
        <w:pStyle w:val="Heading2"/>
      </w:pPr>
      <w:r>
        <w:t xml:space="preserve">2.6 Continuous Threat Monitoring (vSOC)</w:t>
      </w:r>
    </w:p>
    <w:p>
      <w:r>
        <w:t xml:space="preserve">A virtual security operations capability purpose-built for transaction-layer visibility, not generic log aggregation.</w:t>
      </w:r>
    </w:p>
    <w:p>
      <w:pPr>
        <w:pStyle w:val="ListParagraph"/>
        <w:numPr>
          <w:ilvl w:val="0"/>
          <w:numId w:val="2"/>
        </w:numPr>
      </w:pPr>
      <w:r>
        <w:t xml:space="preserve">24/7 API traffic monitoring with anomaly detection tuned to payment and transaction-volume baselines.</w:t>
      </w:r>
    </w:p>
    <w:p>
      <w:pPr>
        <w:pStyle w:val="ListParagraph"/>
        <w:numPr>
          <w:ilvl w:val="0"/>
          <w:numId w:val="2"/>
        </w:numPr>
      </w:pPr>
      <w:r>
        <w:t xml:space="preserve">Bot mitigation and credential-stuffing defense for payment gateways and login / onboarding flows.</w:t>
      </w:r>
    </w:p>
    <w:p>
      <w:pPr>
        <w:pStyle w:val="ListParagraph"/>
        <w:numPr>
          <w:ilvl w:val="0"/>
          <w:numId w:val="2"/>
        </w:numPr>
      </w:pPr>
      <w:r>
        <w:t xml:space="preserve">Real-time fraud transaction pattern detection using behavioral and graph-based anomaly models.</w:t>
      </w:r>
    </w:p>
    <w:p>
      <w:pPr>
        <w:pStyle w:val="ListParagraph"/>
        <w:numPr>
          <w:ilvl w:val="0"/>
          <w:numId w:val="2"/>
        </w:numPr>
      </w:pPr>
      <w:r>
        <w:t xml:space="preserve">Cloud workload threat detection (CWPP) across containerized and serverless fintech infrastructure.</w:t>
      </w:r>
    </w:p>
    <w:p>
      <w:pPr>
        <w:pStyle w:val="ListParagraph"/>
        <w:numPr>
          <w:ilvl w:val="0"/>
          <w:numId w:val="2"/>
        </w:numPr>
      </w:pPr>
      <w:r>
        <w:t xml:space="preserve">Incident response retainer with SLAs aligned to regulatory breach-notification windows.</w:t>
      </w:r>
    </w:p>
    <w:p>
      <w:pPr>
        <w:pStyle w:val="ListParagraph"/>
        <w:numPr>
          <w:ilvl w:val="0"/>
          <w:numId w:val="2"/>
        </w:numPr>
      </w:pPr>
      <w:r>
        <w:t xml:space="preserve">Quarterly threat-intelligence briefings tailored to the client's regulatory jurisdiction and threat-actor landscape.</w:t>
      </w:r>
    </w:p>
    <w:p>
      <w:pPr>
        <w:pStyle w:val="Heading2"/>
      </w:pPr>
      <w:r>
        <w:t xml:space="preserve">2.7 Physical Security Equipment — Sales, Installation &amp; Managed Services</w:t>
      </w:r>
    </w:p>
    <w:p>
      <w:r>
        <w:t xml:space="preserve">Many of the firm's banking, healthcare, telecom, retail, and government clients operate physical infrastructure — branches, hospitals, data centers, cell sites, retail locations, and ATM networks — that is just as much a target as their codebases. Codeward Security extends its developer-first philosophy to the physical layer, treating cameras, access controllers, and alarm panels as networked, embedded-software-running endpoints, not just hardware.</w:t>
      </w:r>
    </w:p>
    <w:p>
      <w:pPr>
        <w:pStyle w:val="ListParagraph"/>
        <w:numPr>
          <w:ilvl w:val="0"/>
          <w:numId w:val="2"/>
        </w:numPr>
      </w:pPr>
      <w:r>
        <w:t xml:space="preserve">Security equipment sales: vendor-neutral sourcing and procurement of enterprise-grade IP video surveillance, access control, intrusion detection, and perimeter security systems from leading manufacturers such as Axis Communications, HID Global, Genetec, and Bosch Security Systems.</w:t>
      </w:r>
    </w:p>
    <w:p>
      <w:pPr>
        <w:pStyle w:val="ListParagraph"/>
        <w:numPr>
          <w:ilvl w:val="0"/>
          <w:numId w:val="2"/>
        </w:numPr>
      </w:pPr>
      <w:r>
        <w:t xml:space="preserve">Professional installation and integration for bank branches, data centers, ATM sites, and payment processing facilities, integrated with existing building management and IT/OT network segmentation.</w:t>
      </w:r>
    </w:p>
    <w:p>
      <w:pPr>
        <w:pStyle w:val="ListParagraph"/>
        <w:numPr>
          <w:ilvl w:val="0"/>
          <w:numId w:val="2"/>
        </w:numPr>
      </w:pPr>
      <w:r>
        <w:t xml:space="preserve">Biometric and multi-factor physical access control design and deployment for server rooms, vaults, and other restricted areas, aligned to the least-privilege principles used in the firm's IAM practice.</w:t>
      </w:r>
    </w:p>
    <w:p>
      <w:pPr>
        <w:pStyle w:val="ListParagraph"/>
        <w:numPr>
          <w:ilvl w:val="0"/>
          <w:numId w:val="2"/>
        </w:numPr>
      </w:pPr>
      <w:r>
        <w:t xml:space="preserve">Managed maintenance and firmware security: ongoing patching, credential rotation, and firmware-vulnerability management for physical security devices, closing a frequently overlooked gap where IP cameras and access controllers ship with default credentials and unpatched firmware.</w:t>
      </w:r>
    </w:p>
    <w:p>
      <w:pPr>
        <w:pStyle w:val="ListParagraph"/>
        <w:numPr>
          <w:ilvl w:val="0"/>
          <w:numId w:val="2"/>
        </w:numPr>
      </w:pPr>
      <w:r>
        <w:t xml:space="preserve">Physical-cyber convergence design: unified branch and data-center security architecture pairing physical access control with network segmentation and monitoring, reviewed by the same engineers who perform the firm's AppSec work.</w:t>
      </w:r>
    </w:p>
    <w:p>
      <w:pPr>
        <w:pStyle w:val="ListParagraph"/>
        <w:numPr>
          <w:ilvl w:val="0"/>
          <w:numId w:val="2"/>
        </w:numPr>
      </w:pPr>
      <w:r>
        <w:t xml:space="preserve">24/7 alarm monitoring and incident dispatch coordination, integrated with the firm's vSOC for a single, correlated view of physical and digital threat activity.</w:t>
      </w:r>
    </w:p>
    <w:p>
      <w:r>
        <w:br w:type="page"/>
      </w:r>
    </w:p>
    <w:p>
      <w:pPr>
        <w:pStyle w:val="Heading1"/>
      </w:pPr>
      <w:r>
        <w:t xml:space="preserve">3. Architecture &amp; Target Client Adaptation</w:t>
      </w:r>
    </w:p>
    <w:p>
      <w:r>
        <w:t xml:space="preserve">A single service catalog cannot serve a twelve-person neo-bank and a century-old commercial bank identically. Engagement architecture, pacing, and compliance emphasis adapt to each target segment as detailed below; this client-type framework applies across all operating regions — North America, Europe, and Africa — with regional regulatory detail covered in Section 4.</w:t>
      </w:r>
    </w:p>
    <w:p>
      <w:pPr>
        <w:pStyle w:val="Heading2"/>
      </w:pPr>
      <w:r>
        <w:t xml:space="preserve">3.1 Fintech Startups &amp; Neo-Banks</w:t>
      </w:r>
    </w:p>
    <w:p>
      <w:r>
        <w:t xml:space="preserve">Speed-to-market is existential; security must accelerate, not gate, release cadence.</w:t>
      </w:r>
    </w:p>
    <w:p>
      <w:pPr>
        <w:pStyle w:val="ListParagraph"/>
        <w:numPr>
          <w:ilvl w:val="0"/>
          <w:numId w:val="2"/>
        </w:numPr>
      </w:pPr>
      <w:r>
        <w:rPr>
          <w:b/>
          <w:bCs/>
          <w:color w:val="1A1A1A"/>
        </w:rPr>
        <w:t xml:space="preserve">High-velocity DevSecOps deployment: </w:t>
      </w:r>
      <w:r>
        <w:t xml:space="preserve">security tooling embedded into existing CI/CD within two to four weeks, not quarters.</w:t>
      </w:r>
    </w:p>
    <w:p>
      <w:pPr>
        <w:pStyle w:val="ListParagraph"/>
        <w:numPr>
          <w:ilvl w:val="0"/>
          <w:numId w:val="2"/>
        </w:numPr>
      </w:pPr>
      <w:r>
        <w:rPr>
          <w:b/>
          <w:bCs/>
          <w:color w:val="1A1A1A"/>
        </w:rPr>
        <w:t xml:space="preserve">Rapid compliance sprints: </w:t>
      </w:r>
      <w:r>
        <w:t xml:space="preserve">PCI-DSS and SOC 2 Type I readiness designed around fundraising and banking-partner due-diligence timelines.</w:t>
      </w:r>
    </w:p>
    <w:p>
      <w:pPr>
        <w:pStyle w:val="ListParagraph"/>
        <w:numPr>
          <w:ilvl w:val="0"/>
          <w:numId w:val="2"/>
        </w:numPr>
      </w:pPr>
      <w:r>
        <w:rPr>
          <w:b/>
          <w:bCs/>
          <w:color w:val="1A1A1A"/>
        </w:rPr>
        <w:t xml:space="preserve">Scalable API protection: </w:t>
      </w:r>
      <w:r>
        <w:t xml:space="preserve">architecture built for unpredictable growth curves, from MVP traffic to post-Series-B scale.</w:t>
      </w:r>
    </w:p>
    <w:p>
      <w:pPr>
        <w:pStyle w:val="ListParagraph"/>
        <w:numPr>
          <w:ilvl w:val="0"/>
          <w:numId w:val="2"/>
        </w:numPr>
      </w:pPr>
      <w:r>
        <w:rPr>
          <w:b/>
          <w:bCs/>
          <w:color w:val="1A1A1A"/>
        </w:rPr>
        <w:t xml:space="preserve">Fractional CISO-as-a-Service: </w:t>
      </w:r>
      <w:r>
        <w:t xml:space="preserve">executive-level security guidance for teams not yet ready to hire a full-time security executive.</w:t>
      </w:r>
    </w:p>
    <w:p>
      <w:pPr>
        <w:pStyle w:val="ListParagraph"/>
        <w:numPr>
          <w:ilvl w:val="0"/>
          <w:numId w:val="2"/>
        </w:numPr>
      </w:pPr>
      <w:r>
        <w:rPr>
          <w:b/>
          <w:bCs/>
          <w:color w:val="1A1A1A"/>
        </w:rPr>
        <w:t xml:space="preserve">Engineering-embedded model: </w:t>
      </w:r>
      <w:r>
        <w:t xml:space="preserve">security engineers pair directly with feature teams rather than operating as a separate, blocking function.</w:t>
      </w:r>
    </w:p>
    <w:p>
      <w:pPr>
        <w:pStyle w:val="Heading2"/>
      </w:pPr>
      <w:r>
        <w:t xml:space="preserve">3.2 Legacy Commercial Banks</w:t>
      </w:r>
    </w:p>
    <w:p>
      <w:r>
        <w:t xml:space="preserve">The challenge shifts from greenfield speed to safely modernizing decades of accumulated technical and security debt.</w:t>
      </w:r>
    </w:p>
    <w:p>
      <w:pPr>
        <w:pStyle w:val="ListParagraph"/>
        <w:numPr>
          <w:ilvl w:val="0"/>
          <w:numId w:val="2"/>
        </w:numPr>
      </w:pPr>
      <w:r>
        <w:rPr>
          <w:b/>
          <w:bCs/>
          <w:color w:val="1A1A1A"/>
        </w:rPr>
        <w:t xml:space="preserve">Legacy codebase modernization audits: </w:t>
      </w:r>
      <w:r>
        <w:t xml:space="preserve">risk-prioritized remediation roadmaps for core banking interfaces and monolith decomposition initiatives.</w:t>
      </w:r>
    </w:p>
    <w:p>
      <w:pPr>
        <w:pStyle w:val="ListParagraph"/>
        <w:numPr>
          <w:ilvl w:val="0"/>
          <w:numId w:val="2"/>
        </w:numPr>
      </w:pPr>
      <w:r>
        <w:rPr>
          <w:b/>
          <w:bCs/>
          <w:color w:val="1A1A1A"/>
        </w:rPr>
        <w:t xml:space="preserve">Third-party &amp; Open Banking API security: </w:t>
      </w:r>
      <w:r>
        <w:t xml:space="preserve">PSD2/Open Banking conformance testing and vendor attack-surface mapping.</w:t>
      </w:r>
    </w:p>
    <w:p>
      <w:pPr>
        <w:pStyle w:val="ListParagraph"/>
        <w:numPr>
          <w:ilvl w:val="0"/>
          <w:numId w:val="2"/>
        </w:numPr>
      </w:pPr>
      <w:r>
        <w:rPr>
          <w:b/>
          <w:bCs/>
          <w:color w:val="1A1A1A"/>
        </w:rPr>
        <w:t xml:space="preserve">Cloud migration security architecture: </w:t>
      </w:r>
      <w:r>
        <w:t xml:space="preserve">parallel-run validation for lift-and-shift and re-platforming initiatives that avoids service disruption.</w:t>
      </w:r>
    </w:p>
    <w:p>
      <w:pPr>
        <w:pStyle w:val="ListParagraph"/>
        <w:numPr>
          <w:ilvl w:val="0"/>
          <w:numId w:val="2"/>
        </w:numPr>
      </w:pPr>
      <w:r>
        <w:rPr>
          <w:b/>
          <w:bCs/>
          <w:color w:val="1A1A1A"/>
        </w:rPr>
        <w:t xml:space="preserve">Governance-aware engagement: </w:t>
      </w:r>
      <w:r>
        <w:t xml:space="preserve">delivery model respects existing release governance, audit committees, and regulator relationships.</w:t>
      </w:r>
    </w:p>
    <w:p>
      <w:pPr>
        <w:pStyle w:val="ListParagraph"/>
        <w:numPr>
          <w:ilvl w:val="0"/>
          <w:numId w:val="2"/>
        </w:numPr>
      </w:pPr>
      <w:r>
        <w:rPr>
          <w:b/>
          <w:bCs/>
          <w:color w:val="1A1A1A"/>
        </w:rPr>
        <w:t xml:space="preserve">Long-horizon partnerships: </w:t>
      </w:r>
      <w:r>
        <w:t xml:space="preserve">twelve-to-thirty-six-month managed security roadmaps rather than point-in-time assessments.</w:t>
      </w:r>
    </w:p>
    <w:p>
      <w:pPr>
        <w:pStyle w:val="Heading2"/>
      </w:pPr>
      <w:r>
        <w:t xml:space="preserve">3.3 Government / Financial Regulators</w:t>
      </w:r>
    </w:p>
    <w:p>
      <w:r>
        <w:t xml:space="preserve">National-scale infrastructure demands sovereignty-aware architecture and the highest tier of assurance and reporting rigor.</w:t>
      </w:r>
    </w:p>
    <w:p>
      <w:pPr>
        <w:pStyle w:val="ListParagraph"/>
        <w:numPr>
          <w:ilvl w:val="0"/>
          <w:numId w:val="2"/>
        </w:numPr>
      </w:pPr>
      <w:r>
        <w:rPr>
          <w:b/>
          <w:bCs/>
          <w:color w:val="1A1A1A"/>
        </w:rPr>
        <w:t xml:space="preserve">Payment gateway architecture: </w:t>
      </w:r>
      <w:r>
        <w:t xml:space="preserve">security design for national payment gateways and real-time gross settlement (RTGS) systems.</w:t>
      </w:r>
    </w:p>
    <w:p>
      <w:pPr>
        <w:pStyle w:val="ListParagraph"/>
        <w:numPr>
          <w:ilvl w:val="0"/>
          <w:numId w:val="2"/>
        </w:numPr>
      </w:pPr>
      <w:r>
        <w:rPr>
          <w:b/>
          <w:bCs/>
          <w:color w:val="1A1A1A"/>
        </w:rPr>
        <w:t xml:space="preserve">CBDC architecture review: </w:t>
      </w:r>
      <w:r>
        <w:t xml:space="preserve">ledger design, custody models, and resilience validation against state-level threat actors.</w:t>
      </w:r>
    </w:p>
    <w:p>
      <w:pPr>
        <w:pStyle w:val="ListParagraph"/>
        <w:numPr>
          <w:ilvl w:val="0"/>
          <w:numId w:val="2"/>
        </w:numPr>
      </w:pPr>
      <w:r>
        <w:rPr>
          <w:b/>
          <w:bCs/>
          <w:color w:val="1A1A1A"/>
        </w:rPr>
        <w:t xml:space="preserve">Audit-grade compliance reporting: </w:t>
      </w:r>
      <w:r>
        <w:t xml:space="preserve">alignment to national cybersecurity frameworks and cross-border data-sovereignty requirements.</w:t>
      </w:r>
    </w:p>
    <w:p>
      <w:pPr>
        <w:pStyle w:val="ListParagraph"/>
        <w:numPr>
          <w:ilvl w:val="0"/>
          <w:numId w:val="2"/>
        </w:numPr>
      </w:pPr>
      <w:r>
        <w:rPr>
          <w:b/>
          <w:bCs/>
          <w:color w:val="1A1A1A"/>
        </w:rPr>
        <w:t xml:space="preserve">Cleared-personnel delivery: </w:t>
      </w:r>
      <w:r>
        <w:t xml:space="preserve">on-premises and air-gapped engagement options where mandated.</w:t>
      </w:r>
    </w:p>
    <w:p>
      <w:pPr>
        <w:pStyle w:val="ListParagraph"/>
        <w:numPr>
          <w:ilvl w:val="0"/>
          <w:numId w:val="2"/>
        </w:numPr>
      </w:pPr>
      <w:r>
        <w:rPr>
          <w:b/>
          <w:bCs/>
          <w:color w:val="1A1A1A"/>
        </w:rPr>
        <w:t xml:space="preserve">Resilience testing: </w:t>
      </w:r>
      <w:r>
        <w:t xml:space="preserve">continuity-of-operations exercises aligned to DORA-equivalent national resilience mandates.</w:t>
      </w:r>
    </w:p>
    <w:p>
      <w:pPr>
        <w:pStyle w:val="Heading2"/>
      </w:pPr>
      <w:r>
        <w:t xml:space="preserve">3.4 Cross-Industry Application</w:t>
      </w:r>
    </w:p>
    <w:p>
      <w:r>
        <w:t xml:space="preserve">The three archetypes above are defined by organizational maturity and risk posture, not by industry — which is exactly why they extend cleanly beyond fintech. The same engagement shape recurs in each of the firm's adjacent industries; only the regulatory backdrop changes.</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700"/>
        <w:gridCol w:w="2700"/>
        <w:gridCol w:w="3960"/>
      </w:tblGrid>
      <w:tr>
        <w:trPr>
          <w:tblHeader/>
        </w:trPr>
        <w:tc>
          <w:tcPr>
            <w:tcW w:type="dxa" w:w="2700"/>
            <w:shd w:fill="1A1A1A" w:val="clear"/>
            <w:tcMar>
              <w:top w:type="dxa" w:w="100"/>
              <w:left w:type="dxa" w:w="140"/>
              <w:bottom w:type="dxa" w:w="100"/>
              <w:right w:type="dxa" w:w="140"/>
            </w:tcMar>
            <w:vAlign w:val="center"/>
          </w:tcPr>
          <w:p>
            <w:r>
              <w:rPr>
                <w:b/>
                <w:bCs/>
                <w:color w:val="FFFFFF"/>
                <w:sz w:val="20"/>
                <w:szCs w:val="20"/>
              </w:rPr>
              <w:t xml:space="preserve">Maturity Archetype</w:t>
            </w:r>
          </w:p>
        </w:tc>
        <w:tc>
          <w:tcPr>
            <w:tcW w:type="dxa" w:w="2700"/>
            <w:shd w:fill="1A1A1A" w:val="clear"/>
            <w:tcMar>
              <w:top w:type="dxa" w:w="100"/>
              <w:left w:type="dxa" w:w="140"/>
              <w:bottom w:type="dxa" w:w="100"/>
              <w:right w:type="dxa" w:w="140"/>
            </w:tcMar>
            <w:vAlign w:val="center"/>
          </w:tcPr>
          <w:p>
            <w:r>
              <w:rPr>
                <w:b/>
                <w:bCs/>
                <w:color w:val="FFFFFF"/>
                <w:sz w:val="20"/>
                <w:szCs w:val="20"/>
              </w:rPr>
              <w:t xml:space="preserve">Fintech Example</w:t>
            </w:r>
          </w:p>
        </w:tc>
        <w:tc>
          <w:tcPr>
            <w:tcW w:type="dxa" w:w="3960"/>
            <w:shd w:fill="1A1A1A" w:val="clear"/>
            <w:tcMar>
              <w:top w:type="dxa" w:w="100"/>
              <w:left w:type="dxa" w:w="140"/>
              <w:bottom w:type="dxa" w:w="100"/>
              <w:right w:type="dxa" w:w="140"/>
            </w:tcMar>
            <w:vAlign w:val="center"/>
          </w:tcPr>
          <w:p>
            <w:r>
              <w:rPr>
                <w:b/>
                <w:bCs/>
                <w:color w:val="FFFFFF"/>
                <w:sz w:val="20"/>
                <w:szCs w:val="20"/>
              </w:rPr>
              <w:t xml:space="preserve">Adjacent Industry Examples</w:t>
            </w:r>
          </w:p>
        </w:tc>
      </w:tr>
      <w:tr>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High-Velocity Startup</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Neo-bank, DeFi protocol</w:t>
            </w:r>
          </w:p>
        </w:tc>
        <w:tc>
          <w:tcPr>
            <w:tcW w:type="dxa" w:w="3960"/>
            <w:shd w:fill="FFFFFF" w:val="clear"/>
            <w:tcMar>
              <w:top w:type="dxa" w:w="100"/>
              <w:left w:type="dxa" w:w="140"/>
              <w:bottom w:type="dxa" w:w="100"/>
              <w:right w:type="dxa" w:w="140"/>
            </w:tcMar>
            <w:vAlign w:val="center"/>
          </w:tcPr>
          <w:p>
            <w:r>
              <w:rPr>
                <w:b w:val="false"/>
                <w:bCs w:val="false"/>
                <w:color w:val="2B2B2B"/>
                <w:sz w:val="20"/>
                <w:szCs w:val="20"/>
              </w:rPr>
              <w:t xml:space="preserve">Healthtech startup, e-commerce platform, telecom MVNO</w:t>
            </w:r>
          </w:p>
        </w:tc>
      </w:tr>
      <w:tr>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Established Enterprise</w:t>
            </w:r>
          </w:p>
        </w:tc>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Legacy commercial bank</w:t>
            </w:r>
          </w:p>
        </w:tc>
        <w:tc>
          <w:tcPr>
            <w:tcW w:type="dxa" w:w="3960"/>
            <w:shd w:fill="E9E9E9" w:val="clear"/>
            <w:tcMar>
              <w:top w:type="dxa" w:w="100"/>
              <w:left w:type="dxa" w:w="140"/>
              <w:bottom w:type="dxa" w:w="100"/>
              <w:right w:type="dxa" w:w="140"/>
            </w:tcMar>
            <w:vAlign w:val="center"/>
          </w:tcPr>
          <w:p>
            <w:r>
              <w:rPr>
                <w:b w:val="false"/>
                <w:bCs w:val="false"/>
                <w:color w:val="2B2B2B"/>
                <w:sz w:val="20"/>
                <w:szCs w:val="20"/>
              </w:rPr>
              <w:t xml:space="preserve">Hospital network, national telecom carrier, large retailer</w:t>
            </w:r>
          </w:p>
        </w:tc>
      </w:tr>
      <w:tr>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Government / Regulated Body</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Financial regulator, central bank</w:t>
            </w:r>
          </w:p>
        </w:tc>
        <w:tc>
          <w:tcPr>
            <w:tcW w:type="dxa" w:w="3960"/>
            <w:shd w:fill="FFFFFF" w:val="clear"/>
            <w:tcMar>
              <w:top w:type="dxa" w:w="100"/>
              <w:left w:type="dxa" w:w="140"/>
              <w:bottom w:type="dxa" w:w="100"/>
              <w:right w:type="dxa" w:w="140"/>
            </w:tcMar>
            <w:vAlign w:val="center"/>
          </w:tcPr>
          <w:p>
            <w:r>
              <w:rPr>
                <w:b w:val="false"/>
                <w:bCs w:val="false"/>
                <w:color w:val="2B2B2B"/>
                <w:sz w:val="20"/>
                <w:szCs w:val="20"/>
              </w:rPr>
              <w:t xml:space="preserve">Health ministry, telecom regulator, national infrastructure authority</w:t>
            </w:r>
          </w:p>
        </w:tc>
      </w:tr>
    </w:tbl>
    <w:p>
      <w:pPr>
        <w:pStyle w:val="Heading2"/>
      </w:pPr>
      <w:r>
        <w:t xml:space="preserve">3.5 Segment Comparison Snapshot</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300"/>
        <w:gridCol w:w="2300"/>
        <w:gridCol w:w="2160"/>
        <w:gridCol w:w="2600"/>
      </w:tblGrid>
      <w:tr>
        <w:trPr>
          <w:tblHeader/>
        </w:trPr>
        <w:tc>
          <w:tcPr>
            <w:tcW w:type="dxa" w:w="2300"/>
            <w:shd w:fill="1A1A1A" w:val="clear"/>
            <w:tcMar>
              <w:top w:type="dxa" w:w="100"/>
              <w:left w:type="dxa" w:w="140"/>
              <w:bottom w:type="dxa" w:w="100"/>
              <w:right w:type="dxa" w:w="140"/>
            </w:tcMar>
            <w:vAlign w:val="center"/>
          </w:tcPr>
          <w:p>
            <w:r>
              <w:rPr>
                <w:b/>
                <w:bCs/>
                <w:color w:val="FFFFFF"/>
                <w:sz w:val="20"/>
                <w:szCs w:val="20"/>
              </w:rPr>
              <w:t xml:space="preserve">Segment</w:t>
            </w:r>
          </w:p>
        </w:tc>
        <w:tc>
          <w:tcPr>
            <w:tcW w:type="dxa" w:w="2300"/>
            <w:shd w:fill="1A1A1A" w:val="clear"/>
            <w:tcMar>
              <w:top w:type="dxa" w:w="100"/>
              <w:left w:type="dxa" w:w="140"/>
              <w:bottom w:type="dxa" w:w="100"/>
              <w:right w:type="dxa" w:w="140"/>
            </w:tcMar>
            <w:vAlign w:val="center"/>
          </w:tcPr>
          <w:p>
            <w:r>
              <w:rPr>
                <w:b/>
                <w:bCs/>
                <w:color w:val="FFFFFF"/>
                <w:sz w:val="20"/>
                <w:szCs w:val="20"/>
              </w:rPr>
              <w:t xml:space="preserve">Primary Driver</w:t>
            </w:r>
          </w:p>
        </w:tc>
        <w:tc>
          <w:tcPr>
            <w:tcW w:type="dxa" w:w="2160"/>
            <w:shd w:fill="1A1A1A" w:val="clear"/>
            <w:tcMar>
              <w:top w:type="dxa" w:w="100"/>
              <w:left w:type="dxa" w:w="140"/>
              <w:bottom w:type="dxa" w:w="100"/>
              <w:right w:type="dxa" w:w="140"/>
            </w:tcMar>
            <w:vAlign w:val="center"/>
          </w:tcPr>
          <w:p>
            <w:r>
              <w:rPr>
                <w:b/>
                <w:bCs/>
                <w:color w:val="FFFFFF"/>
                <w:sz w:val="20"/>
                <w:szCs w:val="20"/>
              </w:rPr>
              <w:t xml:space="preserve">Typical Engagement</w:t>
            </w:r>
          </w:p>
        </w:tc>
        <w:tc>
          <w:tcPr>
            <w:tcW w:type="dxa" w:w="2600"/>
            <w:shd w:fill="1A1A1A" w:val="clear"/>
            <w:tcMar>
              <w:top w:type="dxa" w:w="100"/>
              <w:left w:type="dxa" w:w="140"/>
              <w:bottom w:type="dxa" w:w="100"/>
              <w:right w:type="dxa" w:w="140"/>
            </w:tcMar>
            <w:vAlign w:val="center"/>
          </w:tcPr>
          <w:p>
            <w:r>
              <w:rPr>
                <w:b/>
                <w:bCs/>
                <w:color w:val="FFFFFF"/>
                <w:sz w:val="20"/>
                <w:szCs w:val="20"/>
              </w:rPr>
              <w:t xml:space="preserve">Key Compliance Focus</w:t>
            </w:r>
          </w:p>
        </w:tc>
      </w:tr>
      <w:tr>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Fintech Startups &amp; Neo-Banks</w:t>
            </w:r>
          </w:p>
        </w:tc>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Speed-to-market</w:t>
            </w:r>
          </w:p>
        </w:tc>
        <w:tc>
          <w:tcPr>
            <w:tcW w:type="dxa" w:w="2160"/>
            <w:shd w:fill="FFFFFF" w:val="clear"/>
            <w:tcMar>
              <w:top w:type="dxa" w:w="100"/>
              <w:left w:type="dxa" w:w="140"/>
              <w:bottom w:type="dxa" w:w="100"/>
              <w:right w:type="dxa" w:w="140"/>
            </w:tcMar>
            <w:vAlign w:val="center"/>
          </w:tcPr>
          <w:p>
            <w:r>
              <w:rPr>
                <w:b w:val="false"/>
                <w:bCs w:val="false"/>
                <w:color w:val="2B2B2B"/>
                <w:sz w:val="20"/>
                <w:szCs w:val="20"/>
              </w:rPr>
              <w:t xml:space="preserve">4–12 week sprints</w:t>
            </w:r>
          </w:p>
        </w:tc>
        <w:tc>
          <w:tcPr>
            <w:tcW w:type="dxa" w:w="2600"/>
            <w:shd w:fill="FFFFFF" w:val="clear"/>
            <w:tcMar>
              <w:top w:type="dxa" w:w="100"/>
              <w:left w:type="dxa" w:w="140"/>
              <w:bottom w:type="dxa" w:w="100"/>
              <w:right w:type="dxa" w:w="140"/>
            </w:tcMar>
            <w:vAlign w:val="center"/>
          </w:tcPr>
          <w:p>
            <w:r>
              <w:rPr>
                <w:b w:val="false"/>
                <w:bCs w:val="false"/>
                <w:color w:val="2B2B2B"/>
                <w:sz w:val="20"/>
                <w:szCs w:val="20"/>
              </w:rPr>
              <w:t xml:space="preserve">PCI-DSS, SOC 2 Type I/II</w:t>
            </w:r>
          </w:p>
        </w:tc>
      </w:tr>
      <w:tr>
        <w:tc>
          <w:tcPr>
            <w:tcW w:type="dxa" w:w="2300"/>
            <w:shd w:fill="E9E9E9" w:val="clear"/>
            <w:tcMar>
              <w:top w:type="dxa" w:w="100"/>
              <w:left w:type="dxa" w:w="140"/>
              <w:bottom w:type="dxa" w:w="100"/>
              <w:right w:type="dxa" w:w="140"/>
            </w:tcMar>
            <w:vAlign w:val="center"/>
          </w:tcPr>
          <w:p>
            <w:r>
              <w:rPr>
                <w:b w:val="false"/>
                <w:bCs w:val="false"/>
                <w:color w:val="2B2B2B"/>
                <w:sz w:val="20"/>
                <w:szCs w:val="20"/>
              </w:rPr>
              <w:t xml:space="preserve">Legacy Commercial Banks</w:t>
            </w:r>
          </w:p>
        </w:tc>
        <w:tc>
          <w:tcPr>
            <w:tcW w:type="dxa" w:w="2300"/>
            <w:shd w:fill="E9E9E9" w:val="clear"/>
            <w:tcMar>
              <w:top w:type="dxa" w:w="100"/>
              <w:left w:type="dxa" w:w="140"/>
              <w:bottom w:type="dxa" w:w="100"/>
              <w:right w:type="dxa" w:w="140"/>
            </w:tcMar>
            <w:vAlign w:val="center"/>
          </w:tcPr>
          <w:p>
            <w:r>
              <w:rPr>
                <w:b w:val="false"/>
                <w:bCs w:val="false"/>
                <w:color w:val="2B2B2B"/>
                <w:sz w:val="20"/>
                <w:szCs w:val="20"/>
              </w:rPr>
              <w:t xml:space="preserve">Modernization &amp; integration risk</w:t>
            </w:r>
          </w:p>
        </w:tc>
        <w:tc>
          <w:tcPr>
            <w:tcW w:type="dxa" w:w="2160"/>
            <w:shd w:fill="E9E9E9" w:val="clear"/>
            <w:tcMar>
              <w:top w:type="dxa" w:w="100"/>
              <w:left w:type="dxa" w:w="140"/>
              <w:bottom w:type="dxa" w:w="100"/>
              <w:right w:type="dxa" w:w="140"/>
            </w:tcMar>
            <w:vAlign w:val="center"/>
          </w:tcPr>
          <w:p>
            <w:r>
              <w:rPr>
                <w:b w:val="false"/>
                <w:bCs w:val="false"/>
                <w:color w:val="2B2B2B"/>
                <w:sz w:val="20"/>
                <w:szCs w:val="20"/>
              </w:rPr>
              <w:t xml:space="preserve">12–36 months</w:t>
            </w:r>
          </w:p>
        </w:tc>
        <w:tc>
          <w:tcPr>
            <w:tcW w:type="dxa" w:w="2600"/>
            <w:shd w:fill="E9E9E9" w:val="clear"/>
            <w:tcMar>
              <w:top w:type="dxa" w:w="100"/>
              <w:left w:type="dxa" w:w="140"/>
              <w:bottom w:type="dxa" w:w="100"/>
              <w:right w:type="dxa" w:w="140"/>
            </w:tcMar>
            <w:vAlign w:val="center"/>
          </w:tcPr>
          <w:p>
            <w:r>
              <w:rPr>
                <w:b w:val="false"/>
                <w:bCs w:val="false"/>
                <w:color w:val="2B2B2B"/>
                <w:sz w:val="20"/>
                <w:szCs w:val="20"/>
              </w:rPr>
              <w:t xml:space="preserve">PCI-DSS, SOC 2, GLBA, Open Banking</w:t>
            </w:r>
          </w:p>
        </w:tc>
      </w:tr>
      <w:tr>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Government / Regulators</w:t>
            </w:r>
          </w:p>
        </w:tc>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Sovereignty &amp; resilience</w:t>
            </w:r>
          </w:p>
        </w:tc>
        <w:tc>
          <w:tcPr>
            <w:tcW w:type="dxa" w:w="2160"/>
            <w:shd w:fill="FFFFFF" w:val="clear"/>
            <w:tcMar>
              <w:top w:type="dxa" w:w="100"/>
              <w:left w:type="dxa" w:w="140"/>
              <w:bottom w:type="dxa" w:w="100"/>
              <w:right w:type="dxa" w:w="140"/>
            </w:tcMar>
            <w:vAlign w:val="center"/>
          </w:tcPr>
          <w:p>
            <w:r>
              <w:rPr>
                <w:b w:val="false"/>
                <w:bCs w:val="false"/>
                <w:color w:val="2B2B2B"/>
                <w:sz w:val="20"/>
                <w:szCs w:val="20"/>
              </w:rPr>
              <w:t xml:space="preserve">12+ months, retained</w:t>
            </w:r>
          </w:p>
        </w:tc>
        <w:tc>
          <w:tcPr>
            <w:tcW w:type="dxa" w:w="2600"/>
            <w:shd w:fill="FFFFFF" w:val="clear"/>
            <w:tcMar>
              <w:top w:type="dxa" w:w="100"/>
              <w:left w:type="dxa" w:w="140"/>
              <w:bottom w:type="dxa" w:w="100"/>
              <w:right w:type="dxa" w:w="140"/>
            </w:tcMar>
            <w:vAlign w:val="center"/>
          </w:tcPr>
          <w:p>
            <w:r>
              <w:rPr>
                <w:b w:val="false"/>
                <w:bCs w:val="false"/>
                <w:color w:val="2B2B2B"/>
                <w:sz w:val="20"/>
                <w:szCs w:val="20"/>
              </w:rPr>
              <w:t xml:space="preserve">DORA-equivalent, national frameworks, CBDC standards</w:t>
            </w:r>
          </w:p>
        </w:tc>
      </w:tr>
    </w:tbl>
    <w:p>
      <w:r>
        <w:br w:type="page"/>
      </w:r>
    </w:p>
    <w:p>
      <w:pPr>
        <w:pStyle w:val="Heading1"/>
      </w:pPr>
      <w:r>
        <w:t xml:space="preserve">4. Global Market Expansion: Europe &amp; Africa</w:t>
      </w:r>
    </w:p>
    <w:p>
      <w:r>
        <w:t xml:space="preserve">While initial go-to-market is North America-anchored, Codeward Security's addressable market is global from inception. Two regions carry outsized strategic weight: Europe, home to the world's most mature binding financial-cyber regulation, and Africa, home to some of the fastest-growing, mobile-first fintech ecosystems on the planet. Each requires its own regulatory fluency, threat model, and entry motion rather than a copy-pasted domestic playbook.</w:t>
      </w:r>
    </w:p>
    <w:p>
      <w:pPr>
        <w:pStyle w:val="Heading2"/>
      </w:pPr>
      <w:r>
        <w:t xml:space="preserve">4.1 Europe: Regulatory Depth as the Entry Wedge</w:t>
      </w:r>
    </w:p>
    <w:p>
      <w:pPr>
        <w:pStyle w:val="ListParagraph"/>
        <w:numPr>
          <w:ilvl w:val="0"/>
          <w:numId w:val="2"/>
        </w:numPr>
      </w:pPr>
      <w:r>
        <w:rPr>
          <w:b/>
          <w:bCs/>
          <w:color w:val="1A1A1A"/>
        </w:rPr>
        <w:t xml:space="preserve">DORA (Digital Operational Resilience Act): </w:t>
      </w:r>
      <w:r>
        <w:t xml:space="preserve">binding on EU financial entities since 17 January 2025, with active supervisory enforcement underway through 2026, including mandatory Registers of Information on ICT third-party providers and Threat-Led Penetration Testing (TLPT) for significant entities. Because Codeward Security would itself qualify as an ICT third-party provider to in-scope clients, the firm's own controls must be DORA-ready before selling into the EU financial sector.</w:t>
      </w:r>
    </w:p>
    <w:p>
      <w:pPr>
        <w:pStyle w:val="ListParagraph"/>
        <w:numPr>
          <w:ilvl w:val="0"/>
          <w:numId w:val="2"/>
        </w:numPr>
      </w:pPr>
      <w:r>
        <w:rPr>
          <w:b/>
          <w:bCs/>
          <w:color w:val="1A1A1A"/>
        </w:rPr>
        <w:t xml:space="preserve">NIS2 Directive: </w:t>
      </w:r>
      <w:r>
        <w:t xml:space="preserve">transposed into national law across EU member states, with a compliance deadline of October 2026 for in-scope critical and important entities; several national regulators have layered earlier self-assessment milestones ahead of that date.</w:t>
      </w:r>
    </w:p>
    <w:p>
      <w:pPr>
        <w:pStyle w:val="ListParagraph"/>
        <w:numPr>
          <w:ilvl w:val="0"/>
          <w:numId w:val="2"/>
        </w:numPr>
      </w:pPr>
      <w:r>
        <w:rPr>
          <w:b/>
          <w:bCs/>
          <w:color w:val="1A1A1A"/>
        </w:rPr>
        <w:t xml:space="preserve">GDPR: </w:t>
      </w:r>
      <w:r>
        <w:t xml:space="preserve">the baseline data-protection regime underpinning every secure-code review and architecture engagement involving EU personal data — privacy-by-design review is a standing AppSec deliverable, not a separate workstream.</w:t>
      </w:r>
    </w:p>
    <w:p>
      <w:pPr>
        <w:pStyle w:val="ListParagraph"/>
        <w:numPr>
          <w:ilvl w:val="0"/>
          <w:numId w:val="2"/>
        </w:numPr>
      </w:pPr>
      <w:r>
        <w:rPr>
          <w:b/>
          <w:bCs/>
          <w:color w:val="1A1A1A"/>
        </w:rPr>
        <w:t xml:space="preserve">PSD2, evolving toward PSD3/PSR: </w:t>
      </w:r>
      <w:r>
        <w:t xml:space="preserve">strengthens Strong Customer Authentication (SCA) and Open Banking API requirements, directly shaping API security testing scope for European payment institutions.</w:t>
      </w:r>
    </w:p>
    <w:p>
      <w:pPr>
        <w:pStyle w:val="ListParagraph"/>
        <w:numPr>
          <w:ilvl w:val="0"/>
          <w:numId w:val="2"/>
        </w:numPr>
      </w:pPr>
      <w:r>
        <w:rPr>
          <w:b/>
          <w:bCs/>
          <w:color w:val="1A1A1A"/>
        </w:rPr>
        <w:t xml:space="preserve">eIDAS 2.0 / EU Digital Identity Wallet: </w:t>
      </w:r>
      <w:r>
        <w:t xml:space="preserve">introduces new identity-verification and authentication flows that fintech and banking clients will need threat-modeled ahead of national rollout.</w:t>
      </w:r>
    </w:p>
    <w:p>
      <w:pPr>
        <w:pStyle w:val="ListParagraph"/>
        <w:numPr>
          <w:ilvl w:val="0"/>
          <w:numId w:val="2"/>
        </w:numPr>
      </w:pPr>
      <w:r>
        <w:rPr>
          <w:b/>
          <w:bCs/>
          <w:color w:val="1A1A1A"/>
        </w:rPr>
        <w:t xml:space="preserve">Entry hubs: </w:t>
      </w:r>
      <w:r>
        <w:t xml:space="preserve">Ireland, Lithuania, the Netherlands, and Germany as EU fintech-licensing and engineering centers, with the UK (FCA-regulated, outside the EU post-Brexit) as a complementary common-law market.</w:t>
      </w:r>
    </w:p>
    <w:p>
      <w:pPr>
        <w:pStyle w:val="ListParagraph"/>
        <w:numPr>
          <w:ilvl w:val="0"/>
          <w:numId w:val="2"/>
        </w:numPr>
      </w:pPr>
      <w:r>
        <w:rPr>
          <w:b/>
          <w:bCs/>
          <w:color w:val="1A1A1A"/>
        </w:rPr>
        <w:t xml:space="preserve">Go-to-market motion: </w:t>
      </w:r>
      <w:r>
        <w:t xml:space="preserve">establish or partner for an EU-based legal entity to support data residency and DORA subcontracting requirements, and pursue participation in regional Open Banking and fintech-accelerator ecosystems.</w:t>
      </w:r>
    </w:p>
    <w:p>
      <w:pPr>
        <w:pStyle w:val="Heading2"/>
      </w:pPr>
      <w:r>
        <w:t xml:space="preserve">4.2 Africa: Mobile-First Finance, Fragmented Regulation</w:t>
      </w:r>
    </w:p>
    <w:p>
      <w:r>
        <w:t xml:space="preserve">Africa's financial-inclusion story is mobile-money-led rather than card-led, which shifts both the regulatory map and the technical threat surface relative to Europe or North America.</w:t>
      </w:r>
    </w:p>
    <w:p>
      <w:pPr>
        <w:pStyle w:val="ListParagraph"/>
        <w:numPr>
          <w:ilvl w:val="0"/>
          <w:numId w:val="2"/>
        </w:numPr>
      </w:pPr>
      <w:r>
        <w:rPr>
          <w:b/>
          <w:bCs/>
          <w:color w:val="1A1A1A"/>
        </w:rPr>
        <w:t xml:space="preserve">Nigeria: </w:t>
      </w:r>
      <w:r>
        <w:t xml:space="preserve">the Nigeria Data Protection Act (NDPA) 2023, enforced by the Nigeria Data Protection Commission (NDPC), sets data-minimization, encryption, and 72-hour breach-notification requirements; the Central Bank of Nigeria's risk-based Cybersecurity Framework and Guidelines for Deposit Money Banks and Payment Service Banks (2024) governs bank- and PSP-grade controls, alongside an active Open Banking regulatory framework.</w:t>
      </w:r>
    </w:p>
    <w:p>
      <w:pPr>
        <w:pStyle w:val="ListParagraph"/>
        <w:numPr>
          <w:ilvl w:val="0"/>
          <w:numId w:val="2"/>
        </w:numPr>
      </w:pPr>
      <w:r>
        <w:rPr>
          <w:b/>
          <w:bCs/>
          <w:color w:val="1A1A1A"/>
        </w:rPr>
        <w:t xml:space="preserve">South Africa: </w:t>
      </w:r>
      <w:r>
        <w:t xml:space="preserve">the Protection of Personal Information Act (POPIA), fully enforceable since July 2021 and overseen by the Information Regulator, sets the data-protection baseline, with administrative fines of up to ZAR 10 million for non-compliance.</w:t>
      </w:r>
    </w:p>
    <w:p>
      <w:pPr>
        <w:pStyle w:val="ListParagraph"/>
        <w:numPr>
          <w:ilvl w:val="0"/>
          <w:numId w:val="2"/>
        </w:numPr>
      </w:pPr>
      <w:r>
        <w:rPr>
          <w:b/>
          <w:bCs/>
          <w:color w:val="1A1A1A"/>
        </w:rPr>
        <w:t xml:space="preserve">Kenya: </w:t>
      </w:r>
      <w:r>
        <w:t xml:space="preserve">the Data Protection Act, 2019, enforced by the Office of the Data Protection Commissioner (ODPC), requires registration, a designated Data Protection Officer, and Data Protection Impact Assessments for high-risk processing, covering most fintech and digital-lending platforms.</w:t>
      </w:r>
    </w:p>
    <w:p>
      <w:pPr>
        <w:pStyle w:val="ListParagraph"/>
        <w:numPr>
          <w:ilvl w:val="0"/>
          <w:numId w:val="2"/>
        </w:numPr>
      </w:pPr>
      <w:r>
        <w:rPr>
          <w:b/>
          <w:bCs/>
          <w:color w:val="1A1A1A"/>
        </w:rPr>
        <w:t xml:space="preserve">Regulatory fragmentation: </w:t>
      </w:r>
      <w:r>
        <w:t xml:space="preserve">no pan-African “GDPR equivalent” exists; each of the continent's 54 jurisdictions requires its own compliance posture, so the firm's GRC practice must be modular and jurisdiction-aware rather than templated.</w:t>
      </w:r>
    </w:p>
    <w:p>
      <w:pPr>
        <w:pStyle w:val="ListParagraph"/>
        <w:numPr>
          <w:ilvl w:val="0"/>
          <w:numId w:val="2"/>
        </w:numPr>
      </w:pPr>
      <w:r>
        <w:rPr>
          <w:b/>
          <w:bCs/>
          <w:color w:val="1A1A1A"/>
        </w:rPr>
        <w:t xml:space="preserve">Mobile-money and USSD-channel security: </w:t>
      </w:r>
      <w:r>
        <w:t xml:space="preserve">distinct threat classes versus card-based fintech, including SIM-swap account takeover, USSD session hijacking, and agent-network social engineering, requiring dedicated red-team playbooks.</w:t>
      </w:r>
    </w:p>
    <w:p>
      <w:pPr>
        <w:pStyle w:val="ListParagraph"/>
        <w:numPr>
          <w:ilvl w:val="0"/>
          <w:numId w:val="2"/>
        </w:numPr>
      </w:pPr>
      <w:r>
        <w:rPr>
          <w:b/>
          <w:bCs/>
          <w:color w:val="1A1A1A"/>
        </w:rPr>
        <w:t xml:space="preserve">Agent-banking network fraud monitoring: </w:t>
      </w:r>
      <w:r>
        <w:t xml:space="preserve">extending vSOC capability beyond app and API traffic to the human agent layer that much of African financial inclusion runs through.</w:t>
      </w:r>
    </w:p>
    <w:p>
      <w:pPr>
        <w:pStyle w:val="ListParagraph"/>
        <w:numPr>
          <w:ilvl w:val="0"/>
          <w:numId w:val="2"/>
        </w:numPr>
      </w:pPr>
      <w:r>
        <w:rPr>
          <w:b/>
          <w:bCs/>
          <w:color w:val="1A1A1A"/>
        </w:rPr>
        <w:t xml:space="preserve">Low-bandwidth, offline-first architecture review: </w:t>
      </w:r>
      <w:r>
        <w:t xml:space="preserve">security tooling and vSOC dashboards engineered to function under intermittent-connectivity conditions common outside major metro areas.</w:t>
      </w:r>
    </w:p>
    <w:p>
      <w:pPr>
        <w:pStyle w:val="ListParagraph"/>
        <w:numPr>
          <w:ilvl w:val="0"/>
          <w:numId w:val="2"/>
        </w:numPr>
      </w:pPr>
      <w:r>
        <w:rPr>
          <w:b/>
          <w:bCs/>
          <w:color w:val="1A1A1A"/>
        </w:rPr>
        <w:t xml:space="preserve">GSMA Mobile Money Certification readiness: </w:t>
      </w:r>
      <w:r>
        <w:t xml:space="preserve">supporting mobile money operators preparing for the industry's recognized security and consumer-protection certification.</w:t>
      </w:r>
    </w:p>
    <w:p>
      <w:pPr>
        <w:pStyle w:val="ListParagraph"/>
        <w:numPr>
          <w:ilvl w:val="0"/>
          <w:numId w:val="2"/>
        </w:numPr>
      </w:pPr>
      <w:r>
        <w:rPr>
          <w:b/>
          <w:bCs/>
          <w:color w:val="1A1A1A"/>
        </w:rPr>
        <w:t xml:space="preserve">Entry hubs: </w:t>
      </w:r>
      <w:r>
        <w:t xml:space="preserve">Lagos, Nairobi, Cairo, and Cape Town/Johannesburg as the continent's primary fintech funding and engineering talent centers.</w:t>
      </w:r>
    </w:p>
    <w:p>
      <w:pPr>
        <w:pStyle w:val="ListParagraph"/>
        <w:numPr>
          <w:ilvl w:val="0"/>
          <w:numId w:val="2"/>
        </w:numPr>
      </w:pPr>
      <w:r>
        <w:rPr>
          <w:b/>
          <w:bCs/>
          <w:color w:val="1A1A1A"/>
        </w:rPr>
        <w:t xml:space="preserve">Go-to-market motion: </w:t>
      </w:r>
      <w:r>
        <w:t xml:space="preserve">partner-led entry through regional mobile network operators, payment switches, and development-finance-backed fintech accelerators, rather than a direct-sales-only model, to compress the trust-building cycle in unfamiliar markets.</w:t>
      </w:r>
    </w:p>
    <w:p>
      <w:pPr>
        <w:pStyle w:val="Heading2"/>
      </w:pPr>
      <w:r>
        <w:t xml:space="preserve">4.3 Regional Regulatory &amp; Market Snapshot</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1860"/>
        <w:gridCol w:w="2700"/>
        <w:gridCol w:w="2700"/>
        <w:gridCol w:w="2100"/>
      </w:tblGrid>
      <w:tr>
        <w:trPr>
          <w:tblHeader/>
        </w:trPr>
        <w:tc>
          <w:tcPr>
            <w:tcW w:type="dxa" w:w="1860"/>
            <w:shd w:fill="1A1A1A" w:val="clear"/>
            <w:tcMar>
              <w:top w:type="dxa" w:w="100"/>
              <w:left w:type="dxa" w:w="140"/>
              <w:bottom w:type="dxa" w:w="100"/>
              <w:right w:type="dxa" w:w="140"/>
            </w:tcMar>
            <w:vAlign w:val="center"/>
          </w:tcPr>
          <w:p>
            <w:r>
              <w:rPr>
                <w:b/>
                <w:bCs/>
                <w:color w:val="FFFFFF"/>
                <w:sz w:val="20"/>
                <w:szCs w:val="20"/>
              </w:rPr>
              <w:t xml:space="preserve">Region</w:t>
            </w:r>
          </w:p>
        </w:tc>
        <w:tc>
          <w:tcPr>
            <w:tcW w:type="dxa" w:w="2700"/>
            <w:shd w:fill="1A1A1A" w:val="clear"/>
            <w:tcMar>
              <w:top w:type="dxa" w:w="100"/>
              <w:left w:type="dxa" w:w="140"/>
              <w:bottom w:type="dxa" w:w="100"/>
              <w:right w:type="dxa" w:w="140"/>
            </w:tcMar>
            <w:vAlign w:val="center"/>
          </w:tcPr>
          <w:p>
            <w:r>
              <w:rPr>
                <w:b/>
                <w:bCs/>
                <w:color w:val="FFFFFF"/>
                <w:sz w:val="20"/>
                <w:szCs w:val="20"/>
              </w:rPr>
              <w:t xml:space="preserve">Anchor Regulations</w:t>
            </w:r>
          </w:p>
        </w:tc>
        <w:tc>
          <w:tcPr>
            <w:tcW w:type="dxa" w:w="2700"/>
            <w:shd w:fill="1A1A1A" w:val="clear"/>
            <w:tcMar>
              <w:top w:type="dxa" w:w="100"/>
              <w:left w:type="dxa" w:w="140"/>
              <w:bottom w:type="dxa" w:w="100"/>
              <w:right w:type="dxa" w:w="140"/>
            </w:tcMar>
            <w:vAlign w:val="center"/>
          </w:tcPr>
          <w:p>
            <w:r>
              <w:rPr>
                <w:b/>
                <w:bCs/>
                <w:color w:val="FFFFFF"/>
                <w:sz w:val="20"/>
                <w:szCs w:val="20"/>
              </w:rPr>
              <w:t xml:space="preserve">Distinct Threat Surface</w:t>
            </w:r>
          </w:p>
        </w:tc>
        <w:tc>
          <w:tcPr>
            <w:tcW w:type="dxa" w:w="2100"/>
            <w:shd w:fill="1A1A1A" w:val="clear"/>
            <w:tcMar>
              <w:top w:type="dxa" w:w="100"/>
              <w:left w:type="dxa" w:w="140"/>
              <w:bottom w:type="dxa" w:w="100"/>
              <w:right w:type="dxa" w:w="140"/>
            </w:tcMar>
            <w:vAlign w:val="center"/>
          </w:tcPr>
          <w:p>
            <w:r>
              <w:rPr>
                <w:b/>
                <w:bCs/>
                <w:color w:val="FFFFFF"/>
                <w:sz w:val="20"/>
                <w:szCs w:val="20"/>
              </w:rPr>
              <w:t xml:space="preserve">Primary Entry Hubs</w:t>
            </w:r>
          </w:p>
        </w:tc>
      </w:tr>
      <w:tr>
        <w:tc>
          <w:tcPr>
            <w:tcW w:type="dxa" w:w="1860"/>
            <w:shd w:fill="FFFFFF" w:val="clear"/>
            <w:tcMar>
              <w:top w:type="dxa" w:w="100"/>
              <w:left w:type="dxa" w:w="140"/>
              <w:bottom w:type="dxa" w:w="100"/>
              <w:right w:type="dxa" w:w="140"/>
            </w:tcMar>
            <w:vAlign w:val="center"/>
          </w:tcPr>
          <w:p>
            <w:r>
              <w:rPr>
                <w:b w:val="false"/>
                <w:bCs w:val="false"/>
                <w:color w:val="2B2B2B"/>
                <w:sz w:val="20"/>
                <w:szCs w:val="20"/>
              </w:rPr>
              <w:t xml:space="preserve">European Union</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DORA, NIS2, GDPR, PSD2/PSD3</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ICT third-party oversight, TLPT, strong customer authentication</w:t>
            </w:r>
          </w:p>
        </w:tc>
        <w:tc>
          <w:tcPr>
            <w:tcW w:type="dxa" w:w="2100"/>
            <w:shd w:fill="FFFFFF" w:val="clear"/>
            <w:tcMar>
              <w:top w:type="dxa" w:w="100"/>
              <w:left w:type="dxa" w:w="140"/>
              <w:bottom w:type="dxa" w:w="100"/>
              <w:right w:type="dxa" w:w="140"/>
            </w:tcMar>
            <w:vAlign w:val="center"/>
          </w:tcPr>
          <w:p>
            <w:r>
              <w:rPr>
                <w:b w:val="false"/>
                <w:bCs w:val="false"/>
                <w:color w:val="2B2B2B"/>
                <w:sz w:val="20"/>
                <w:szCs w:val="20"/>
              </w:rPr>
              <w:t xml:space="preserve">Dublin, Vilnius, Amsterdam, Berlin</w:t>
            </w:r>
          </w:p>
        </w:tc>
      </w:tr>
      <w:tr>
        <w:tc>
          <w:tcPr>
            <w:tcW w:type="dxa" w:w="1860"/>
            <w:shd w:fill="E9E9E9" w:val="clear"/>
            <w:tcMar>
              <w:top w:type="dxa" w:w="100"/>
              <w:left w:type="dxa" w:w="140"/>
              <w:bottom w:type="dxa" w:w="100"/>
              <w:right w:type="dxa" w:w="140"/>
            </w:tcMar>
            <w:vAlign w:val="center"/>
          </w:tcPr>
          <w:p>
            <w:r>
              <w:rPr>
                <w:b w:val="false"/>
                <w:bCs w:val="false"/>
                <w:color w:val="2B2B2B"/>
                <w:sz w:val="20"/>
                <w:szCs w:val="20"/>
              </w:rPr>
              <w:t xml:space="preserve">United Kingdom</w:t>
            </w:r>
          </w:p>
        </w:tc>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FCA rules, UK GDPR</w:t>
            </w:r>
          </w:p>
        </w:tc>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Open Banking (UK variant), operational resilience rules</w:t>
            </w:r>
          </w:p>
        </w:tc>
        <w:tc>
          <w:tcPr>
            <w:tcW w:type="dxa" w:w="2100"/>
            <w:shd w:fill="E9E9E9" w:val="clear"/>
            <w:tcMar>
              <w:top w:type="dxa" w:w="100"/>
              <w:left w:type="dxa" w:w="140"/>
              <w:bottom w:type="dxa" w:w="100"/>
              <w:right w:type="dxa" w:w="140"/>
            </w:tcMar>
            <w:vAlign w:val="center"/>
          </w:tcPr>
          <w:p>
            <w:r>
              <w:rPr>
                <w:b w:val="false"/>
                <w:bCs w:val="false"/>
                <w:color w:val="2B2B2B"/>
                <w:sz w:val="20"/>
                <w:szCs w:val="20"/>
              </w:rPr>
              <w:t xml:space="preserve">London</w:t>
            </w:r>
          </w:p>
        </w:tc>
      </w:tr>
      <w:tr>
        <w:tc>
          <w:tcPr>
            <w:tcW w:type="dxa" w:w="1860"/>
            <w:shd w:fill="FFFFFF" w:val="clear"/>
            <w:tcMar>
              <w:top w:type="dxa" w:w="100"/>
              <w:left w:type="dxa" w:w="140"/>
              <w:bottom w:type="dxa" w:w="100"/>
              <w:right w:type="dxa" w:w="140"/>
            </w:tcMar>
            <w:vAlign w:val="center"/>
          </w:tcPr>
          <w:p>
            <w:r>
              <w:rPr>
                <w:b w:val="false"/>
                <w:bCs w:val="false"/>
                <w:color w:val="2B2B2B"/>
                <w:sz w:val="20"/>
                <w:szCs w:val="20"/>
              </w:rPr>
              <w:t xml:space="preserve">Nigeria</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NDPA 2023, CBN Cybersecurity Framework</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USSD / agent fraud, mobile money interoperability</w:t>
            </w:r>
          </w:p>
        </w:tc>
        <w:tc>
          <w:tcPr>
            <w:tcW w:type="dxa" w:w="2100"/>
            <w:shd w:fill="FFFFFF" w:val="clear"/>
            <w:tcMar>
              <w:top w:type="dxa" w:w="100"/>
              <w:left w:type="dxa" w:w="140"/>
              <w:bottom w:type="dxa" w:w="100"/>
              <w:right w:type="dxa" w:w="140"/>
            </w:tcMar>
            <w:vAlign w:val="center"/>
          </w:tcPr>
          <w:p>
            <w:r>
              <w:rPr>
                <w:b w:val="false"/>
                <w:bCs w:val="false"/>
                <w:color w:val="2B2B2B"/>
                <w:sz w:val="20"/>
                <w:szCs w:val="20"/>
              </w:rPr>
              <w:t xml:space="preserve">Lagos</w:t>
            </w:r>
          </w:p>
        </w:tc>
      </w:tr>
      <w:tr>
        <w:tc>
          <w:tcPr>
            <w:tcW w:type="dxa" w:w="1860"/>
            <w:shd w:fill="E9E9E9" w:val="clear"/>
            <w:tcMar>
              <w:top w:type="dxa" w:w="100"/>
              <w:left w:type="dxa" w:w="140"/>
              <w:bottom w:type="dxa" w:w="100"/>
              <w:right w:type="dxa" w:w="140"/>
            </w:tcMar>
            <w:vAlign w:val="center"/>
          </w:tcPr>
          <w:p>
            <w:r>
              <w:rPr>
                <w:b w:val="false"/>
                <w:bCs w:val="false"/>
                <w:color w:val="2B2B2B"/>
                <w:sz w:val="20"/>
                <w:szCs w:val="20"/>
              </w:rPr>
              <w:t xml:space="preserve">South Africa</w:t>
            </w:r>
          </w:p>
        </w:tc>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POPIA</w:t>
            </w:r>
          </w:p>
        </w:tc>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Card-present + digital banking hybrid fraud</w:t>
            </w:r>
          </w:p>
        </w:tc>
        <w:tc>
          <w:tcPr>
            <w:tcW w:type="dxa" w:w="2100"/>
            <w:shd w:fill="E9E9E9" w:val="clear"/>
            <w:tcMar>
              <w:top w:type="dxa" w:w="100"/>
              <w:left w:type="dxa" w:w="140"/>
              <w:bottom w:type="dxa" w:w="100"/>
              <w:right w:type="dxa" w:w="140"/>
            </w:tcMar>
            <w:vAlign w:val="center"/>
          </w:tcPr>
          <w:p>
            <w:r>
              <w:rPr>
                <w:b w:val="false"/>
                <w:bCs w:val="false"/>
                <w:color w:val="2B2B2B"/>
                <w:sz w:val="20"/>
                <w:szCs w:val="20"/>
              </w:rPr>
              <w:t xml:space="preserve">Cape Town, Johannesburg</w:t>
            </w:r>
          </w:p>
        </w:tc>
      </w:tr>
      <w:tr>
        <w:tc>
          <w:tcPr>
            <w:tcW w:type="dxa" w:w="1860"/>
            <w:shd w:fill="FFFFFF" w:val="clear"/>
            <w:tcMar>
              <w:top w:type="dxa" w:w="100"/>
              <w:left w:type="dxa" w:w="140"/>
              <w:bottom w:type="dxa" w:w="100"/>
              <w:right w:type="dxa" w:w="140"/>
            </w:tcMar>
            <w:vAlign w:val="center"/>
          </w:tcPr>
          <w:p>
            <w:r>
              <w:rPr>
                <w:b w:val="false"/>
                <w:bCs w:val="false"/>
                <w:color w:val="2B2B2B"/>
                <w:sz w:val="20"/>
                <w:szCs w:val="20"/>
              </w:rPr>
              <w:t xml:space="preserve">Kenya</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Data Protection Act, 2019</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Mobile-money-ecosystem security (e.g., M-PESA-style platforms)</w:t>
            </w:r>
          </w:p>
        </w:tc>
        <w:tc>
          <w:tcPr>
            <w:tcW w:type="dxa" w:w="2100"/>
            <w:shd w:fill="FFFFFF" w:val="clear"/>
            <w:tcMar>
              <w:top w:type="dxa" w:w="100"/>
              <w:left w:type="dxa" w:w="140"/>
              <w:bottom w:type="dxa" w:w="100"/>
              <w:right w:type="dxa" w:w="140"/>
            </w:tcMar>
            <w:vAlign w:val="center"/>
          </w:tcPr>
          <w:p>
            <w:r>
              <w:rPr>
                <w:b w:val="false"/>
                <w:bCs w:val="false"/>
                <w:color w:val="2B2B2B"/>
                <w:sz w:val="20"/>
                <w:szCs w:val="20"/>
              </w:rPr>
              <w:t xml:space="preserve">Nairobi</w:t>
            </w:r>
          </w:p>
        </w:tc>
      </w:tr>
    </w:tbl>
    <w:p>
      <w:r>
        <w:br w:type="page"/>
      </w:r>
    </w:p>
    <w:p>
      <w:pPr>
        <w:pStyle w:val="Heading1"/>
      </w:pPr>
      <w:r>
        <w:t xml:space="preserve">5. Competitive Landscape &amp; Market Positioning</w:t>
      </w:r>
    </w:p>
    <w:p>
      <w:pPr>
        <w:pStyle w:val="Heading2"/>
      </w:pPr>
      <w:r>
        <w:t xml:space="preserve">5.1 Incumbent Landscape</w:t>
      </w:r>
    </w:p>
    <w:p>
      <w:r>
        <w:t xml:space="preserve">No single competitor currently combines all three of the firm's core motions — engineer-embedded remediation, continuous pipeline integration, and regulated-finance specialization — under one roof. The table below benchmarks the primary incumbent categories the firm will be evaluated against in competitive sales cycles.</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200"/>
        <w:gridCol w:w="2360"/>
        <w:gridCol w:w="2300"/>
        <w:gridCol w:w="2500"/>
      </w:tblGrid>
      <w:tr>
        <w:trPr>
          <w:tblHeader/>
        </w:trPr>
        <w:tc>
          <w:tcPr>
            <w:tcW w:type="dxa" w:w="2200"/>
            <w:shd w:fill="1A1A1A" w:val="clear"/>
            <w:tcMar>
              <w:top w:type="dxa" w:w="100"/>
              <w:left w:type="dxa" w:w="140"/>
              <w:bottom w:type="dxa" w:w="100"/>
              <w:right w:type="dxa" w:w="140"/>
            </w:tcMar>
            <w:vAlign w:val="center"/>
          </w:tcPr>
          <w:p>
            <w:r>
              <w:rPr>
                <w:b/>
                <w:bCs/>
                <w:color w:val="FFFFFF"/>
                <w:sz w:val="20"/>
                <w:szCs w:val="20"/>
              </w:rPr>
              <w:t xml:space="preserve">Category</w:t>
            </w:r>
          </w:p>
        </w:tc>
        <w:tc>
          <w:tcPr>
            <w:tcW w:type="dxa" w:w="2360"/>
            <w:shd w:fill="1A1A1A" w:val="clear"/>
            <w:tcMar>
              <w:top w:type="dxa" w:w="100"/>
              <w:left w:type="dxa" w:w="140"/>
              <w:bottom w:type="dxa" w:w="100"/>
              <w:right w:type="dxa" w:w="140"/>
            </w:tcMar>
            <w:vAlign w:val="center"/>
          </w:tcPr>
          <w:p>
            <w:r>
              <w:rPr>
                <w:b/>
                <w:bCs/>
                <w:color w:val="FFFFFF"/>
                <w:sz w:val="20"/>
                <w:szCs w:val="20"/>
              </w:rPr>
              <w:t xml:space="preserve">Representative Players</w:t>
            </w:r>
          </w:p>
        </w:tc>
        <w:tc>
          <w:tcPr>
            <w:tcW w:type="dxa" w:w="2300"/>
            <w:shd w:fill="1A1A1A" w:val="clear"/>
            <w:tcMar>
              <w:top w:type="dxa" w:w="100"/>
              <w:left w:type="dxa" w:w="140"/>
              <w:bottom w:type="dxa" w:w="100"/>
              <w:right w:type="dxa" w:w="140"/>
            </w:tcMar>
            <w:vAlign w:val="center"/>
          </w:tcPr>
          <w:p>
            <w:r>
              <w:rPr>
                <w:b/>
                <w:bCs/>
                <w:color w:val="FFFFFF"/>
                <w:sz w:val="20"/>
                <w:szCs w:val="20"/>
              </w:rPr>
              <w:t xml:space="preserve">Core Delivery Model</w:t>
            </w:r>
          </w:p>
        </w:tc>
        <w:tc>
          <w:tcPr>
            <w:tcW w:type="dxa" w:w="2500"/>
            <w:shd w:fill="1A1A1A" w:val="clear"/>
            <w:tcMar>
              <w:top w:type="dxa" w:w="100"/>
              <w:left w:type="dxa" w:w="140"/>
              <w:bottom w:type="dxa" w:w="100"/>
              <w:right w:type="dxa" w:w="140"/>
            </w:tcMar>
            <w:vAlign w:val="center"/>
          </w:tcPr>
          <w:p>
            <w:r>
              <w:rPr>
                <w:b/>
                <w:bCs/>
                <w:color w:val="FFFFFF"/>
                <w:sz w:val="20"/>
                <w:szCs w:val="20"/>
              </w:rPr>
              <w:t xml:space="preserve">Codeward Security's Differentiation</w:t>
            </w:r>
          </w:p>
        </w:tc>
      </w:tr>
      <w:tr>
        <w:tc>
          <w:tcPr>
            <w:tcW w:type="dxa" w:w="2200"/>
            <w:shd w:fill="FFFFFF" w:val="clear"/>
            <w:tcMar>
              <w:top w:type="dxa" w:w="100"/>
              <w:left w:type="dxa" w:w="140"/>
              <w:bottom w:type="dxa" w:w="100"/>
              <w:right w:type="dxa" w:w="140"/>
            </w:tcMar>
            <w:vAlign w:val="center"/>
          </w:tcPr>
          <w:p>
            <w:r>
              <w:rPr>
                <w:b w:val="false"/>
                <w:bCs w:val="false"/>
                <w:color w:val="2B2B2B"/>
                <w:sz w:val="20"/>
                <w:szCs w:val="20"/>
              </w:rPr>
              <w:t xml:space="preserve">Enterprise AppSec / DevSecOps Platforms</w:t>
            </w:r>
          </w:p>
        </w:tc>
        <w:tc>
          <w:tcPr>
            <w:tcW w:type="dxa" w:w="2360"/>
            <w:shd w:fill="FFFFFF" w:val="clear"/>
            <w:tcMar>
              <w:top w:type="dxa" w:w="100"/>
              <w:left w:type="dxa" w:w="140"/>
              <w:bottom w:type="dxa" w:w="100"/>
              <w:right w:type="dxa" w:w="140"/>
            </w:tcMar>
            <w:vAlign w:val="center"/>
          </w:tcPr>
          <w:p>
            <w:r>
              <w:rPr>
                <w:b w:val="false"/>
                <w:bCs w:val="false"/>
                <w:color w:val="2B2B2B"/>
                <w:sz w:val="20"/>
                <w:szCs w:val="20"/>
              </w:rPr>
              <w:t xml:space="preserve">Snyk, Veracode, Black Duck Software, Checkmarx</w:t>
            </w:r>
          </w:p>
        </w:tc>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Self-serve SaaS tooling, with professional services layered on top</w:t>
            </w:r>
          </w:p>
        </w:tc>
        <w:tc>
          <w:tcPr>
            <w:tcW w:type="dxa" w:w="2500"/>
            <w:shd w:fill="FFFFFF" w:val="clear"/>
            <w:tcMar>
              <w:top w:type="dxa" w:w="100"/>
              <w:left w:type="dxa" w:w="140"/>
              <w:bottom w:type="dxa" w:w="100"/>
              <w:right w:type="dxa" w:w="140"/>
            </w:tcMar>
            <w:vAlign w:val="center"/>
          </w:tcPr>
          <w:p>
            <w:r>
              <w:rPr>
                <w:b w:val="false"/>
                <w:bCs w:val="false"/>
                <w:color w:val="2B2B2B"/>
                <w:sz w:val="20"/>
                <w:szCs w:val="20"/>
              </w:rPr>
              <w:t xml:space="preserve">Boutique, engineer-embedded remediation delivered inside the client's own pull requests, not a dashboard alert</w:t>
            </w:r>
          </w:p>
        </w:tc>
      </w:tr>
      <w:tr>
        <w:tc>
          <w:tcPr>
            <w:tcW w:type="dxa" w:w="2200"/>
            <w:shd w:fill="E9E9E9" w:val="clear"/>
            <w:tcMar>
              <w:top w:type="dxa" w:w="100"/>
              <w:left w:type="dxa" w:w="140"/>
              <w:bottom w:type="dxa" w:w="100"/>
              <w:right w:type="dxa" w:w="140"/>
            </w:tcMar>
            <w:vAlign w:val="center"/>
          </w:tcPr>
          <w:p>
            <w:r>
              <w:rPr>
                <w:b w:val="false"/>
                <w:bCs w:val="false"/>
                <w:color w:val="2B2B2B"/>
                <w:sz w:val="20"/>
                <w:szCs w:val="20"/>
              </w:rPr>
              <w:t xml:space="preserve">Offensive Security &amp; Pentesting Firms</w:t>
            </w:r>
          </w:p>
        </w:tc>
        <w:tc>
          <w:tcPr>
            <w:tcW w:type="dxa" w:w="2360"/>
            <w:shd w:fill="E9E9E9" w:val="clear"/>
            <w:tcMar>
              <w:top w:type="dxa" w:w="100"/>
              <w:left w:type="dxa" w:w="140"/>
              <w:bottom w:type="dxa" w:w="100"/>
              <w:right w:type="dxa" w:w="140"/>
            </w:tcMar>
            <w:vAlign w:val="center"/>
          </w:tcPr>
          <w:p>
            <w:r>
              <w:rPr>
                <w:b w:val="false"/>
                <w:bCs w:val="false"/>
                <w:color w:val="2B2B2B"/>
                <w:sz w:val="20"/>
                <w:szCs w:val="20"/>
              </w:rPr>
              <w:t xml:space="preserve">NCC Group, Bishop Fox, Kroll, Mandiant (Google Cloud Security)</w:t>
            </w:r>
          </w:p>
        </w:tc>
        <w:tc>
          <w:tcPr>
            <w:tcW w:type="dxa" w:w="2300"/>
            <w:shd w:fill="E9E9E9" w:val="clear"/>
            <w:tcMar>
              <w:top w:type="dxa" w:w="100"/>
              <w:left w:type="dxa" w:w="140"/>
              <w:bottom w:type="dxa" w:w="100"/>
              <w:right w:type="dxa" w:w="140"/>
            </w:tcMar>
            <w:vAlign w:val="center"/>
          </w:tcPr>
          <w:p>
            <w:r>
              <w:rPr>
                <w:b w:val="false"/>
                <w:bCs w:val="false"/>
                <w:color w:val="2B2B2B"/>
                <w:sz w:val="20"/>
                <w:szCs w:val="20"/>
              </w:rPr>
              <w:t xml:space="preserve">Point-in-time assessments across broad enterprise scope</w:t>
            </w:r>
          </w:p>
        </w:tc>
        <w:tc>
          <w:tcPr>
            <w:tcW w:type="dxa" w:w="2500"/>
            <w:shd w:fill="E9E9E9" w:val="clear"/>
            <w:tcMar>
              <w:top w:type="dxa" w:w="100"/>
              <w:left w:type="dxa" w:w="140"/>
              <w:bottom w:type="dxa" w:w="100"/>
              <w:right w:type="dxa" w:w="140"/>
            </w:tcMar>
            <w:vAlign w:val="center"/>
          </w:tcPr>
          <w:p>
            <w:r>
              <w:rPr>
                <w:b w:val="false"/>
                <w:bCs w:val="false"/>
                <w:color w:val="2B2B2B"/>
                <w:sz w:val="20"/>
                <w:szCs w:val="20"/>
              </w:rPr>
              <w:t xml:space="preserve">Continuous, pipeline-integrated engagement narrowly specialized in financial transaction systems</w:t>
            </w:r>
          </w:p>
        </w:tc>
      </w:tr>
      <w:tr>
        <w:tc>
          <w:tcPr>
            <w:tcW w:type="dxa" w:w="2200"/>
            <w:shd w:fill="FFFFFF" w:val="clear"/>
            <w:tcMar>
              <w:top w:type="dxa" w:w="100"/>
              <w:left w:type="dxa" w:w="140"/>
              <w:bottom w:type="dxa" w:w="100"/>
              <w:right w:type="dxa" w:w="140"/>
            </w:tcMar>
            <w:vAlign w:val="center"/>
          </w:tcPr>
          <w:p>
            <w:r>
              <w:rPr>
                <w:b w:val="false"/>
                <w:bCs w:val="false"/>
                <w:color w:val="2B2B2B"/>
                <w:sz w:val="20"/>
                <w:szCs w:val="20"/>
              </w:rPr>
              <w:t xml:space="preserve">Big 4 / Global GRC Consultancies</w:t>
            </w:r>
          </w:p>
        </w:tc>
        <w:tc>
          <w:tcPr>
            <w:tcW w:type="dxa" w:w="2360"/>
            <w:shd w:fill="FFFFFF" w:val="clear"/>
            <w:tcMar>
              <w:top w:type="dxa" w:w="100"/>
              <w:left w:type="dxa" w:w="140"/>
              <w:bottom w:type="dxa" w:w="100"/>
              <w:right w:type="dxa" w:w="140"/>
            </w:tcMar>
            <w:vAlign w:val="center"/>
          </w:tcPr>
          <w:p>
            <w:r>
              <w:rPr>
                <w:b w:val="false"/>
                <w:bCs w:val="false"/>
                <w:color w:val="2B2B2B"/>
                <w:sz w:val="20"/>
                <w:szCs w:val="20"/>
              </w:rPr>
              <w:t xml:space="preserve">Deloitte, PwC, EY, KPMG cyber practices</w:t>
            </w:r>
          </w:p>
        </w:tc>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Compliance- and audit-led, large generalist advisory teams</w:t>
            </w:r>
          </w:p>
        </w:tc>
        <w:tc>
          <w:tcPr>
            <w:tcW w:type="dxa" w:w="2500"/>
            <w:shd w:fill="FFFFFF" w:val="clear"/>
            <w:tcMar>
              <w:top w:type="dxa" w:w="100"/>
              <w:left w:type="dxa" w:w="140"/>
              <w:bottom w:type="dxa" w:w="100"/>
              <w:right w:type="dxa" w:w="140"/>
            </w:tcMar>
            <w:vAlign w:val="center"/>
          </w:tcPr>
          <w:p>
            <w:r>
              <w:rPr>
                <w:b w:val="false"/>
                <w:bCs w:val="false"/>
                <w:color w:val="2B2B2B"/>
                <w:sz w:val="20"/>
                <w:szCs w:val="20"/>
              </w:rPr>
              <w:t xml:space="preserve">Compliance treated as a byproduct of secure code, delivered by practitioners who ship production software</w:t>
            </w:r>
          </w:p>
        </w:tc>
      </w:tr>
      <w:tr>
        <w:tc>
          <w:tcPr>
            <w:tcW w:type="dxa" w:w="2200"/>
            <w:shd w:fill="E9E9E9" w:val="clear"/>
            <w:tcMar>
              <w:top w:type="dxa" w:w="100"/>
              <w:left w:type="dxa" w:w="140"/>
              <w:bottom w:type="dxa" w:w="100"/>
              <w:right w:type="dxa" w:w="140"/>
            </w:tcMar>
            <w:vAlign w:val="center"/>
          </w:tcPr>
          <w:p>
            <w:r>
              <w:rPr>
                <w:b w:val="false"/>
                <w:bCs w:val="false"/>
                <w:color w:val="2B2B2B"/>
                <w:sz w:val="20"/>
                <w:szCs w:val="20"/>
              </w:rPr>
              <w:t xml:space="preserve">DeFi / Smart Contract Auditors</w:t>
            </w:r>
          </w:p>
        </w:tc>
        <w:tc>
          <w:tcPr>
            <w:tcW w:type="dxa" w:w="2360"/>
            <w:shd w:fill="E9E9E9" w:val="clear"/>
            <w:tcMar>
              <w:top w:type="dxa" w:w="100"/>
              <w:left w:type="dxa" w:w="140"/>
              <w:bottom w:type="dxa" w:w="100"/>
              <w:right w:type="dxa" w:w="140"/>
            </w:tcMar>
            <w:vAlign w:val="center"/>
          </w:tcPr>
          <w:p>
            <w:r>
              <w:rPr>
                <w:b w:val="false"/>
                <w:bCs w:val="false"/>
                <w:color w:val="2B2B2B"/>
                <w:sz w:val="20"/>
                <w:szCs w:val="20"/>
              </w:rPr>
              <w:t xml:space="preserve">CertiK, Trail of Bits, OpenZeppelin, Sherlock</w:t>
            </w:r>
          </w:p>
        </w:tc>
        <w:tc>
          <w:tcPr>
            <w:tcW w:type="dxa" w:w="2300"/>
            <w:shd w:fill="E9E9E9" w:val="clear"/>
            <w:tcMar>
              <w:top w:type="dxa" w:w="100"/>
              <w:left w:type="dxa" w:w="140"/>
              <w:bottom w:type="dxa" w:w="100"/>
              <w:right w:type="dxa" w:w="140"/>
            </w:tcMar>
            <w:vAlign w:val="center"/>
          </w:tcPr>
          <w:p>
            <w:r>
              <w:rPr>
                <w:b w:val="false"/>
                <w:bCs w:val="false"/>
                <w:color w:val="2B2B2B"/>
                <w:sz w:val="20"/>
                <w:szCs w:val="20"/>
              </w:rPr>
              <w:t xml:space="preserve">Specialized, blockchain-only audit and contest-based models</w:t>
            </w:r>
          </w:p>
        </w:tc>
        <w:tc>
          <w:tcPr>
            <w:tcW w:type="dxa" w:w="2500"/>
            <w:shd w:fill="E9E9E9" w:val="clear"/>
            <w:tcMar>
              <w:top w:type="dxa" w:w="100"/>
              <w:left w:type="dxa" w:w="140"/>
              <w:bottom w:type="dxa" w:w="100"/>
              <w:right w:type="dxa" w:w="140"/>
            </w:tcMar>
            <w:vAlign w:val="center"/>
          </w:tcPr>
          <w:p>
            <w:r>
              <w:rPr>
                <w:b w:val="false"/>
                <w:bCs w:val="false"/>
                <w:color w:val="2B2B2B"/>
                <w:sz w:val="20"/>
                <w:szCs w:val="20"/>
              </w:rPr>
              <w:t xml:space="preserve">Smart-contract assurance combined with full-stack fintech AppSec, GRC, and vSOC under one engagement</w:t>
            </w:r>
          </w:p>
        </w:tc>
      </w:tr>
      <w:tr>
        <w:tc>
          <w:tcPr>
            <w:tcW w:type="dxa" w:w="2200"/>
            <w:shd w:fill="FFFFFF" w:val="clear"/>
            <w:tcMar>
              <w:top w:type="dxa" w:w="100"/>
              <w:left w:type="dxa" w:w="140"/>
              <w:bottom w:type="dxa" w:w="100"/>
              <w:right w:type="dxa" w:w="140"/>
            </w:tcMar>
            <w:vAlign w:val="center"/>
          </w:tcPr>
          <w:p>
            <w:r>
              <w:rPr>
                <w:b w:val="false"/>
                <w:bCs w:val="false"/>
                <w:color w:val="2B2B2B"/>
                <w:sz w:val="20"/>
                <w:szCs w:val="20"/>
              </w:rPr>
              <w:t xml:space="preserve">Global MSSP / Threat Intelligence</w:t>
            </w:r>
          </w:p>
        </w:tc>
        <w:tc>
          <w:tcPr>
            <w:tcW w:type="dxa" w:w="2360"/>
            <w:shd w:fill="FFFFFF" w:val="clear"/>
            <w:tcMar>
              <w:top w:type="dxa" w:w="100"/>
              <w:left w:type="dxa" w:w="140"/>
              <w:bottom w:type="dxa" w:w="100"/>
              <w:right w:type="dxa" w:w="140"/>
            </w:tcMar>
            <w:vAlign w:val="center"/>
          </w:tcPr>
          <w:p>
            <w:r>
              <w:rPr>
                <w:b w:val="false"/>
                <w:bCs w:val="false"/>
                <w:color w:val="2B2B2B"/>
                <w:sz w:val="20"/>
                <w:szCs w:val="20"/>
              </w:rPr>
              <w:t xml:space="preserve">CrowdStrike, Palo Alto Networks (Unit 42), IBM Security</w:t>
            </w:r>
          </w:p>
        </w:tc>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Endpoint- and network-centric monitoring at horizontal scale</w:t>
            </w:r>
          </w:p>
        </w:tc>
        <w:tc>
          <w:tcPr>
            <w:tcW w:type="dxa" w:w="2500"/>
            <w:shd w:fill="FFFFFF" w:val="clear"/>
            <w:tcMar>
              <w:top w:type="dxa" w:w="100"/>
              <w:left w:type="dxa" w:w="140"/>
              <w:bottom w:type="dxa" w:w="100"/>
              <w:right w:type="dxa" w:w="140"/>
            </w:tcMar>
            <w:vAlign w:val="center"/>
          </w:tcPr>
          <w:p>
            <w:r>
              <w:rPr>
                <w:b w:val="false"/>
                <w:bCs w:val="false"/>
                <w:color w:val="2B2B2B"/>
                <w:sz w:val="20"/>
                <w:szCs w:val="20"/>
              </w:rPr>
              <w:t xml:space="preserve">Transaction- and API-native monitoring purpose-built for payment and ledger systems</w:t>
            </w:r>
          </w:p>
        </w:tc>
      </w:tr>
      <w:tr>
        <w:tc>
          <w:tcPr>
            <w:tcW w:type="dxa" w:w="2200"/>
            <w:shd w:fill="E9E9E9" w:val="clear"/>
            <w:tcMar>
              <w:top w:type="dxa" w:w="100"/>
              <w:left w:type="dxa" w:w="140"/>
              <w:bottom w:type="dxa" w:w="100"/>
              <w:right w:type="dxa" w:w="140"/>
            </w:tcMar>
            <w:vAlign w:val="center"/>
          </w:tcPr>
          <w:p>
            <w:r>
              <w:rPr>
                <w:b w:val="false"/>
                <w:bCs w:val="false"/>
                <w:color w:val="2B2B2B"/>
                <w:sz w:val="20"/>
                <w:szCs w:val="20"/>
              </w:rPr>
              <w:t xml:space="preserve">Physical Security Integrators</w:t>
            </w:r>
          </w:p>
        </w:tc>
        <w:tc>
          <w:tcPr>
            <w:tcW w:type="dxa" w:w="2360"/>
            <w:shd w:fill="E9E9E9" w:val="clear"/>
            <w:tcMar>
              <w:top w:type="dxa" w:w="100"/>
              <w:left w:type="dxa" w:w="140"/>
              <w:bottom w:type="dxa" w:w="100"/>
              <w:right w:type="dxa" w:w="140"/>
            </w:tcMar>
            <w:vAlign w:val="center"/>
          </w:tcPr>
          <w:p>
            <w:r>
              <w:rPr>
                <w:b w:val="false"/>
                <w:bCs w:val="false"/>
                <w:color w:val="2B2B2B"/>
                <w:sz w:val="20"/>
                <w:szCs w:val="20"/>
              </w:rPr>
              <w:t xml:space="preserve">Allied Universal, Convergint, Johnson Controls, ADT Commercial</w:t>
            </w:r>
          </w:p>
        </w:tc>
        <w:tc>
          <w:tcPr>
            <w:tcW w:type="dxa" w:w="2300"/>
            <w:shd w:fill="E9E9E9" w:val="clear"/>
            <w:tcMar>
              <w:top w:type="dxa" w:w="100"/>
              <w:left w:type="dxa" w:w="140"/>
              <w:bottom w:type="dxa" w:w="100"/>
              <w:right w:type="dxa" w:w="140"/>
            </w:tcMar>
            <w:vAlign w:val="center"/>
          </w:tcPr>
          <w:p>
            <w:r>
              <w:rPr>
                <w:b w:val="false"/>
                <w:bCs w:val="false"/>
                <w:color w:val="2B2B2B"/>
                <w:sz w:val="20"/>
                <w:szCs w:val="20"/>
              </w:rPr>
              <w:t xml:space="preserve">Hardware-centric installation and monitoring, limited software or firmware security expertise</w:t>
            </w:r>
          </w:p>
        </w:tc>
        <w:tc>
          <w:tcPr>
            <w:tcW w:type="dxa" w:w="2500"/>
            <w:shd w:fill="E9E9E9" w:val="clear"/>
            <w:tcMar>
              <w:top w:type="dxa" w:w="100"/>
              <w:left w:type="dxa" w:w="140"/>
              <w:bottom w:type="dxa" w:w="100"/>
              <w:right w:type="dxa" w:w="140"/>
            </w:tcMar>
            <w:vAlign w:val="center"/>
          </w:tcPr>
          <w:p>
            <w:r>
              <w:rPr>
                <w:b w:val="false"/>
                <w:bCs w:val="false"/>
                <w:color w:val="2B2B2B"/>
                <w:sz w:val="20"/>
                <w:szCs w:val="20"/>
              </w:rPr>
              <w:t xml:space="preserve">Converges equipment sales and installation with firmware-level and AppSec rigor under one vendor</w:t>
            </w:r>
          </w:p>
        </w:tc>
      </w:tr>
    </w:tbl>
    <w:p>
      <w:pPr>
        <w:pStyle w:val="Heading2"/>
      </w:pPr>
      <w:r>
        <w:t xml:space="preserve">5.2 Whitespace &amp; Differentiation</w:t>
      </w:r>
    </w:p>
    <w:p>
      <w:r>
        <w:t xml:space="preserve">Tooling vendors sell software that still requires a client's own engineers to triage and fix findings; offensive-security firms and Big 4 consultancies sell expertise but typically disengage between point-in-time assessments; blockchain-only auditors are deep but narrow; physical security integrators install hardware without securing its firmware. Codeward Security occupies the white space at the intersection of all of these: a single, engineering-embedded partner — proven in fintech and extending across telecom, healthcare, e-commerce, and enterprise technology — that ships fixes, not just findings, and stays embedded in the workflow, digital and physical, between audits rather than reappearing once a year.</w:t>
      </w:r>
    </w:p>
    <w:p>
      <w:pPr>
        <w:pStyle w:val="Heading2"/>
      </w:pPr>
      <w:r>
        <w:t xml:space="preserve">5.3 Competitive Moat</w:t>
      </w:r>
    </w:p>
    <w:p>
      <w:pPr>
        <w:pStyle w:val="ListParagraph"/>
        <w:numPr>
          <w:ilvl w:val="0"/>
          <w:numId w:val="2"/>
        </w:numPr>
      </w:pPr>
      <w:r>
        <w:rPr>
          <w:b/>
          <w:bCs/>
          <w:color w:val="1A1A1A"/>
        </w:rPr>
        <w:t xml:space="preserve">Vertical depth over horizontal breadth: </w:t>
      </w:r>
      <w:r>
        <w:t xml:space="preserve">specialization in regulated finance avoids the “mile-wide, inch-deep” coverage trap of horizontal MSSPs and generalist consultancies.</w:t>
      </w:r>
    </w:p>
    <w:p>
      <w:pPr>
        <w:pStyle w:val="ListParagraph"/>
        <w:numPr>
          <w:ilvl w:val="0"/>
          <w:numId w:val="2"/>
        </w:numPr>
      </w:pPr>
      <w:r>
        <w:rPr>
          <w:b/>
          <w:bCs/>
          <w:color w:val="1A1A1A"/>
        </w:rPr>
        <w:t xml:space="preserve">Engineering-embedded delivery: </w:t>
      </w:r>
      <w:r>
        <w:t xml:space="preserve">a model that creates switching costs SaaS-only platforms and audit-only firms structurally cannot replicate, because it requires hiring engineers who code, not just analysts who report.</w:t>
      </w:r>
    </w:p>
    <w:p>
      <w:pPr>
        <w:pStyle w:val="ListParagraph"/>
        <w:numPr>
          <w:ilvl w:val="0"/>
          <w:numId w:val="2"/>
        </w:numPr>
      </w:pPr>
      <w:r>
        <w:rPr>
          <w:b/>
          <w:bCs/>
          <w:color w:val="1A1A1A"/>
        </w:rPr>
        <w:t xml:space="preserve">Open-source-led inbound: </w:t>
      </w:r>
      <w:r>
        <w:t xml:space="preserve">published tooling, rule packs, and CTFs build a developer-trust funnel that horizontal incumbents' enterprise sales motions are not optimized to capture.</w:t>
      </w:r>
    </w:p>
    <w:p>
      <w:pPr>
        <w:pStyle w:val="ListParagraph"/>
        <w:numPr>
          <w:ilvl w:val="0"/>
          <w:numId w:val="2"/>
        </w:numPr>
      </w:pPr>
      <w:r>
        <w:rPr>
          <w:b/>
          <w:bCs/>
          <w:color w:val="1A1A1A"/>
        </w:rPr>
        <w:t xml:space="preserve">Regional regulatory fluency: </w:t>
      </w:r>
      <w:r>
        <w:t xml:space="preserve">modular GRC playbooks spanning DORA/NIS2 in Europe and NDPA/POPIA/Kenya's Data Protection Act in Africa position the firm ahead of incumbents whose compliance practices remain North America- and EU-centric.</w:t>
      </w:r>
    </w:p>
    <w:p>
      <w:r>
        <w:br w:type="page"/>
      </w:r>
    </w:p>
    <w:p>
      <w:pPr>
        <w:pStyle w:val="Heading1"/>
      </w:pPr>
      <w:r>
        <w:t xml:space="preserve">6. Marketing, Go-to-Market (GTM), &amp; Tech Leadership</w:t>
      </w:r>
    </w:p>
    <w:p>
      <w:pPr>
        <w:pStyle w:val="Heading2"/>
      </w:pPr>
      <w:r>
        <w:t xml:space="preserve">6.1 B2B Sales Strategy</w:t>
      </w:r>
    </w:p>
    <w:p>
      <w:r>
        <w:t xml:space="preserve">Selling security to engineering leadership requires speaking in deployment velocity and risk-adjusted return, not fear-based compliance checklists.</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000"/>
        <w:gridCol w:w="3000"/>
        <w:gridCol w:w="4360"/>
      </w:tblGrid>
      <w:tr>
        <w:trPr>
          <w:tblHeader/>
        </w:trPr>
        <w:tc>
          <w:tcPr>
            <w:tcW w:type="dxa" w:w="2000"/>
            <w:shd w:fill="1A1A1A" w:val="clear"/>
            <w:tcMar>
              <w:top w:type="dxa" w:w="100"/>
              <w:left w:type="dxa" w:w="140"/>
              <w:bottom w:type="dxa" w:w="100"/>
              <w:right w:type="dxa" w:w="140"/>
            </w:tcMar>
            <w:vAlign w:val="center"/>
          </w:tcPr>
          <w:p>
            <w:r>
              <w:rPr>
                <w:b/>
                <w:bCs/>
                <w:color w:val="FFFFFF"/>
                <w:sz w:val="20"/>
                <w:szCs w:val="20"/>
              </w:rPr>
              <w:t xml:space="preserve">Persona</w:t>
            </w:r>
          </w:p>
        </w:tc>
        <w:tc>
          <w:tcPr>
            <w:tcW w:type="dxa" w:w="3000"/>
            <w:shd w:fill="1A1A1A" w:val="clear"/>
            <w:tcMar>
              <w:top w:type="dxa" w:w="100"/>
              <w:left w:type="dxa" w:w="140"/>
              <w:bottom w:type="dxa" w:w="100"/>
              <w:right w:type="dxa" w:w="140"/>
            </w:tcMar>
            <w:vAlign w:val="center"/>
          </w:tcPr>
          <w:p>
            <w:r>
              <w:rPr>
                <w:b/>
                <w:bCs/>
                <w:color w:val="FFFFFF"/>
                <w:sz w:val="20"/>
                <w:szCs w:val="20"/>
              </w:rPr>
              <w:t xml:space="preserve">Primary Concern</w:t>
            </w:r>
          </w:p>
        </w:tc>
        <w:tc>
          <w:tcPr>
            <w:tcW w:type="dxa" w:w="4360"/>
            <w:shd w:fill="1A1A1A" w:val="clear"/>
            <w:tcMar>
              <w:top w:type="dxa" w:w="100"/>
              <w:left w:type="dxa" w:w="140"/>
              <w:bottom w:type="dxa" w:w="100"/>
              <w:right w:type="dxa" w:w="140"/>
            </w:tcMar>
            <w:vAlign w:val="center"/>
          </w:tcPr>
          <w:p>
            <w:r>
              <w:rPr>
                <w:b/>
                <w:bCs/>
                <w:color w:val="FFFFFF"/>
                <w:sz w:val="20"/>
                <w:szCs w:val="20"/>
              </w:rPr>
              <w:t xml:space="preserve">Messaging Angle</w:t>
            </w:r>
          </w:p>
        </w:tc>
      </w:tr>
      <w:tr>
        <w:tc>
          <w:tcPr>
            <w:tcW w:type="dxa" w:w="2000"/>
            <w:shd w:fill="FFFFFF" w:val="clear"/>
            <w:tcMar>
              <w:top w:type="dxa" w:w="100"/>
              <w:left w:type="dxa" w:w="140"/>
              <w:bottom w:type="dxa" w:w="100"/>
              <w:right w:type="dxa" w:w="140"/>
            </w:tcMar>
            <w:vAlign w:val="center"/>
          </w:tcPr>
          <w:p>
            <w:r>
              <w:rPr>
                <w:b w:val="false"/>
                <w:bCs w:val="false"/>
                <w:color w:val="2B2B2B"/>
                <w:sz w:val="20"/>
                <w:szCs w:val="20"/>
              </w:rPr>
              <w:t xml:space="preserve">CTO</w:t>
            </w:r>
          </w:p>
        </w:tc>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Shipping velocity, technical debt</w:t>
            </w:r>
          </w:p>
        </w:tc>
        <w:tc>
          <w:tcPr>
            <w:tcW w:type="dxa" w:w="4360"/>
            <w:shd w:fill="FFFFFF" w:val="clear"/>
            <w:tcMar>
              <w:top w:type="dxa" w:w="100"/>
              <w:left w:type="dxa" w:w="140"/>
              <w:bottom w:type="dxa" w:w="100"/>
              <w:right w:type="dxa" w:w="140"/>
            </w:tcMar>
            <w:vAlign w:val="center"/>
          </w:tcPr>
          <w:p>
            <w:r>
              <w:rPr>
                <w:b w:val="false"/>
                <w:bCs w:val="false"/>
                <w:color w:val="2B2B2B"/>
                <w:sz w:val="20"/>
                <w:szCs w:val="20"/>
              </w:rPr>
              <w:t xml:space="preserve">“We reduce mean-time-to-remediate without adding pipeline friction.”</w:t>
            </w:r>
          </w:p>
        </w:tc>
      </w:tr>
      <w:tr>
        <w:tc>
          <w:tcPr>
            <w:tcW w:type="dxa" w:w="2000"/>
            <w:shd w:fill="E9E9E9" w:val="clear"/>
            <w:tcMar>
              <w:top w:type="dxa" w:w="100"/>
              <w:left w:type="dxa" w:w="140"/>
              <w:bottom w:type="dxa" w:w="100"/>
              <w:right w:type="dxa" w:w="140"/>
            </w:tcMar>
            <w:vAlign w:val="center"/>
          </w:tcPr>
          <w:p>
            <w:r>
              <w:rPr>
                <w:b w:val="false"/>
                <w:bCs w:val="false"/>
                <w:color w:val="2B2B2B"/>
                <w:sz w:val="20"/>
                <w:szCs w:val="20"/>
              </w:rPr>
              <w:t xml:space="preserve">VP of Engineering</w:t>
            </w:r>
          </w:p>
        </w:tc>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Developer experience, team throughput</w:t>
            </w:r>
          </w:p>
        </w:tc>
        <w:tc>
          <w:tcPr>
            <w:tcW w:type="dxa" w:w="4360"/>
            <w:shd w:fill="E9E9E9" w:val="clear"/>
            <w:tcMar>
              <w:top w:type="dxa" w:w="100"/>
              <w:left w:type="dxa" w:w="140"/>
              <w:bottom w:type="dxa" w:w="100"/>
              <w:right w:type="dxa" w:w="140"/>
            </w:tcMar>
            <w:vAlign w:val="center"/>
          </w:tcPr>
          <w:p>
            <w:r>
              <w:rPr>
                <w:b w:val="false"/>
                <w:bCs w:val="false"/>
                <w:color w:val="2B2B2B"/>
                <w:sz w:val="20"/>
                <w:szCs w:val="20"/>
              </w:rPr>
              <w:t xml:space="preserve">“Security findings arrive as pull requests, not PDFs.”</w:t>
            </w:r>
          </w:p>
        </w:tc>
      </w:tr>
      <w:tr>
        <w:tc>
          <w:tcPr>
            <w:tcW w:type="dxa" w:w="2000"/>
            <w:shd w:fill="FFFFFF" w:val="clear"/>
            <w:tcMar>
              <w:top w:type="dxa" w:w="100"/>
              <w:left w:type="dxa" w:w="140"/>
              <w:bottom w:type="dxa" w:w="100"/>
              <w:right w:type="dxa" w:w="140"/>
            </w:tcMar>
            <w:vAlign w:val="center"/>
          </w:tcPr>
          <w:p>
            <w:r>
              <w:rPr>
                <w:b w:val="false"/>
                <w:bCs w:val="false"/>
                <w:color w:val="2B2B2B"/>
                <w:sz w:val="20"/>
                <w:szCs w:val="20"/>
              </w:rPr>
              <w:t xml:space="preserve">CISO</w:t>
            </w:r>
          </w:p>
        </w:tc>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Audit readiness, board risk reporting</w:t>
            </w:r>
          </w:p>
        </w:tc>
        <w:tc>
          <w:tcPr>
            <w:tcW w:type="dxa" w:w="4360"/>
            <w:shd w:fill="FFFFFF" w:val="clear"/>
            <w:tcMar>
              <w:top w:type="dxa" w:w="100"/>
              <w:left w:type="dxa" w:w="140"/>
              <w:bottom w:type="dxa" w:w="100"/>
              <w:right w:type="dxa" w:w="140"/>
            </w:tcMar>
            <w:vAlign w:val="center"/>
          </w:tcPr>
          <w:p>
            <w:r>
              <w:rPr>
                <w:b w:val="false"/>
                <w:bCs w:val="false"/>
                <w:color w:val="2B2B2B"/>
                <w:sz w:val="20"/>
                <w:szCs w:val="20"/>
              </w:rPr>
              <w:t xml:space="preserve">“Continuous, evidence-backed compliance — not a once-a-year fire drill.”</w:t>
            </w:r>
          </w:p>
        </w:tc>
      </w:tr>
    </w:tbl>
    <w:p>
      <w:pPr>
        <w:pStyle w:val="ListParagraph"/>
        <w:numPr>
          <w:ilvl w:val="0"/>
          <w:numId w:val="2"/>
        </w:numPr>
      </w:pPr>
      <w:r>
        <w:rPr>
          <w:b/>
          <w:bCs/>
          <w:color w:val="1A1A1A"/>
        </w:rPr>
        <w:t xml:space="preserve">Land-and-expand motion: </w:t>
      </w:r>
      <w:r>
        <w:t xml:space="preserve">begin with a scoped AppSec or DevSecOps pilot on a single repository or pipeline, then expand to platform-wide coverage.</w:t>
      </w:r>
    </w:p>
    <w:p>
      <w:pPr>
        <w:pStyle w:val="ListParagraph"/>
        <w:numPr>
          <w:ilvl w:val="0"/>
          <w:numId w:val="2"/>
        </w:numPr>
      </w:pPr>
      <w:r>
        <w:rPr>
          <w:b/>
          <w:bCs/>
          <w:color w:val="1A1A1A"/>
        </w:rPr>
        <w:t xml:space="preserve">Technical proof-of-value: </w:t>
      </w:r>
      <w:r>
        <w:t xml:space="preserve">a free or low-cost SAST/SCA scan of a public-facing API delivered with a working pull-request fix, demonstrating the “fix, not just find” philosophy in week one.</w:t>
      </w:r>
    </w:p>
    <w:p>
      <w:pPr>
        <w:pStyle w:val="ListParagraph"/>
        <w:numPr>
          <w:ilvl w:val="0"/>
          <w:numId w:val="2"/>
        </w:numPr>
      </w:pPr>
      <w:r>
        <w:rPr>
          <w:b/>
          <w:bCs/>
          <w:color w:val="1A1A1A"/>
        </w:rPr>
        <w:t xml:space="preserve">Account-based marketing: </w:t>
      </w:r>
      <w:r>
        <w:t xml:space="preserve">targeting Series A–C engineering leadership in fintech, telecom, healthtech, and e-commerce, plus bank and hospital-system technology-transformation offices, across all three operating regions.</w:t>
      </w:r>
    </w:p>
    <w:p>
      <w:pPr>
        <w:pStyle w:val="ListParagraph"/>
        <w:numPr>
          <w:ilvl w:val="0"/>
          <w:numId w:val="2"/>
        </w:numPr>
      </w:pPr>
      <w:r>
        <w:rPr>
          <w:b/>
          <w:bCs/>
          <w:color w:val="1A1A1A"/>
        </w:rPr>
        <w:t xml:space="preserve">Marketplace channel partnerships: </w:t>
      </w:r>
      <w:r>
        <w:t xml:space="preserve">AWS Marketplace and Azure Marketplace listings to shorten procurement cycles for regulated buyers.</w:t>
      </w:r>
    </w:p>
    <w:p>
      <w:pPr>
        <w:pStyle w:val="ListParagraph"/>
        <w:numPr>
          <w:ilvl w:val="0"/>
          <w:numId w:val="2"/>
        </w:numPr>
      </w:pPr>
      <w:r>
        <w:rPr>
          <w:b/>
          <w:bCs/>
          <w:color w:val="1A1A1A"/>
        </w:rPr>
        <w:t xml:space="preserve">Reference-customer flywheel: </w:t>
      </w:r>
      <w:r>
        <w:t xml:space="preserve">anonymized case studies quantifying MTTR reduction and audit-prep time saved, used in late-stage sales conversations.</w:t>
      </w:r>
    </w:p>
    <w:p>
      <w:pPr>
        <w:pStyle w:val="Heading2"/>
      </w:pPr>
      <w:r>
        <w:t xml:space="preserve">6.2 Thought Leadership</w:t>
      </w:r>
    </w:p>
    <w:p>
      <w:pPr>
        <w:pStyle w:val="ListParagraph"/>
        <w:numPr>
          <w:ilvl w:val="0"/>
          <w:numId w:val="2"/>
        </w:numPr>
      </w:pPr>
      <w:r>
        <w:rPr>
          <w:b/>
          <w:bCs/>
          <w:color w:val="1A1A1A"/>
        </w:rPr>
        <w:t xml:space="preserve">Open-source tooling: </w:t>
      </w:r>
      <w:r>
        <w:t xml:space="preserve">publish and maintain custom Semgrep rule packs for fintech transaction logic and a DeFi smart-contract static analyzer under the company GitHub organization.</w:t>
      </w:r>
    </w:p>
    <w:p>
      <w:pPr>
        <w:pStyle w:val="ListParagraph"/>
        <w:numPr>
          <w:ilvl w:val="0"/>
          <w:numId w:val="2"/>
        </w:numPr>
      </w:pPr>
      <w:r>
        <w:rPr>
          <w:b/>
          <w:bCs/>
          <w:color w:val="1A1A1A"/>
        </w:rPr>
        <w:t xml:space="preserve">Founder-led technical content: </w:t>
      </w:r>
      <w:r>
        <w:t xml:space="preserve">blog series translating real, anonymized remediation patterns into engineering-audience writing.</w:t>
      </w:r>
    </w:p>
    <w:p>
      <w:pPr>
        <w:pStyle w:val="ListParagraph"/>
        <w:numPr>
          <w:ilvl w:val="0"/>
          <w:numId w:val="2"/>
        </w:numPr>
      </w:pPr>
      <w:r>
        <w:rPr>
          <w:b/>
          <w:bCs/>
          <w:color w:val="1A1A1A"/>
        </w:rPr>
        <w:t xml:space="preserve">Developer security training: </w:t>
      </w:r>
      <w:r>
        <w:t xml:space="preserve">workshops delivered directly to client engineering teams, feeding internal security-champion programs.</w:t>
      </w:r>
    </w:p>
    <w:p>
      <w:pPr>
        <w:pStyle w:val="ListParagraph"/>
        <w:numPr>
          <w:ilvl w:val="0"/>
          <w:numId w:val="2"/>
        </w:numPr>
      </w:pPr>
      <w:r>
        <w:rPr>
          <w:b/>
          <w:bCs/>
          <w:color w:val="1A1A1A"/>
        </w:rPr>
        <w:t xml:space="preserve">Conference circuit: </w:t>
      </w:r>
      <w:r>
        <w:t xml:space="preserve">developer-first audiences including KubeCon, DEF CON AppSec Village, and fintech-specific events such as Money20/20 and Sibos, complemented by regional events in Europe and Africa.</w:t>
      </w:r>
    </w:p>
    <w:p>
      <w:pPr>
        <w:pStyle w:val="ListParagraph"/>
        <w:numPr>
          <w:ilvl w:val="0"/>
          <w:numId w:val="2"/>
        </w:numPr>
      </w:pPr>
      <w:r>
        <w:rPr>
          <w:b/>
          <w:bCs/>
          <w:color w:val="1A1A1A"/>
        </w:rPr>
        <w:t xml:space="preserve">Annual benchmark report: </w:t>
      </w:r>
      <w:r>
        <w:t xml:space="preserve">a “State of Fintech AppSec” report synthesizing anonymized findings across the client portfolio.</w:t>
      </w:r>
    </w:p>
    <w:p>
      <w:pPr>
        <w:pStyle w:val="ListParagraph"/>
        <w:numPr>
          <w:ilvl w:val="0"/>
          <w:numId w:val="2"/>
        </w:numPr>
      </w:pPr>
      <w:r>
        <w:rPr>
          <w:b/>
          <w:bCs/>
          <w:color w:val="1A1A1A"/>
        </w:rPr>
        <w:t xml:space="preserve">Capture-the-flag challenges: </w:t>
      </w:r>
      <w:r>
        <w:t xml:space="preserve">fintech-vulnerability-class CTFs used for both community engagement and technical recruiting.</w:t>
      </w:r>
    </w:p>
    <w:p>
      <w:r>
        <w:br w:type="page"/>
      </w:r>
    </w:p>
    <w:p>
      <w:pPr>
        <w:pStyle w:val="Heading1"/>
      </w:pPr>
      <w:r>
        <w:t xml:space="preserve">7. Operational Tech Stack &amp; Architect Profile</w:t>
      </w:r>
    </w:p>
    <w:p>
      <w:pPr>
        <w:pStyle w:val="Heading2"/>
      </w:pPr>
      <w:r>
        <w:t xml:space="preserve">7.1 Engineering-First Security Tech Stack</w:t>
      </w:r>
    </w:p>
    <w:p>
      <w:r>
        <w:t xml:space="preserve">Tooling selection favors developer-native, pipeline-integrable platforms over portal-centric, report-only tools.</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3000"/>
        <w:gridCol w:w="6360"/>
      </w:tblGrid>
      <w:tr>
        <w:trPr>
          <w:tblHeader/>
        </w:trPr>
        <w:tc>
          <w:tcPr>
            <w:tcW w:type="dxa" w:w="3000"/>
            <w:shd w:fill="1A1A1A" w:val="clear"/>
            <w:tcMar>
              <w:top w:type="dxa" w:w="100"/>
              <w:left w:type="dxa" w:w="140"/>
              <w:bottom w:type="dxa" w:w="100"/>
              <w:right w:type="dxa" w:w="140"/>
            </w:tcMar>
            <w:vAlign w:val="center"/>
          </w:tcPr>
          <w:p>
            <w:r>
              <w:rPr>
                <w:b/>
                <w:bCs/>
                <w:color w:val="FFFFFF"/>
                <w:sz w:val="20"/>
                <w:szCs w:val="20"/>
              </w:rPr>
              <w:t xml:space="preserve">Category</w:t>
            </w:r>
          </w:p>
        </w:tc>
        <w:tc>
          <w:tcPr>
            <w:tcW w:type="dxa" w:w="6360"/>
            <w:shd w:fill="1A1A1A" w:val="clear"/>
            <w:tcMar>
              <w:top w:type="dxa" w:w="100"/>
              <w:left w:type="dxa" w:w="140"/>
              <w:bottom w:type="dxa" w:w="100"/>
              <w:right w:type="dxa" w:w="140"/>
            </w:tcMar>
            <w:vAlign w:val="center"/>
          </w:tcPr>
          <w:p>
            <w:r>
              <w:rPr>
                <w:b/>
                <w:bCs/>
                <w:color w:val="FFFFFF"/>
                <w:sz w:val="20"/>
                <w:szCs w:val="20"/>
              </w:rPr>
              <w:t xml:space="preserve">Representative Tools</w:t>
            </w:r>
          </w:p>
        </w:tc>
      </w:tr>
      <w:tr>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Static &amp; Code Analysis (SAST)</w:t>
            </w:r>
          </w:p>
        </w:tc>
        <w:tc>
          <w:tcPr>
            <w:tcW w:type="dxa" w:w="6360"/>
            <w:shd w:fill="FFFFFF" w:val="clear"/>
            <w:tcMar>
              <w:top w:type="dxa" w:w="100"/>
              <w:left w:type="dxa" w:w="140"/>
              <w:bottom w:type="dxa" w:w="100"/>
              <w:right w:type="dxa" w:w="140"/>
            </w:tcMar>
            <w:vAlign w:val="center"/>
          </w:tcPr>
          <w:p>
            <w:r>
              <w:rPr>
                <w:b w:val="false"/>
                <w:bCs w:val="false"/>
                <w:color w:val="2B2B2B"/>
                <w:sz w:val="20"/>
                <w:szCs w:val="20"/>
              </w:rPr>
              <w:t xml:space="preserve">Semgrep, SonarQube, Checkmarx, CodeQL</w:t>
            </w:r>
          </w:p>
        </w:tc>
      </w:tr>
      <w:tr>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Software Composition Analysis (SCA)</w:t>
            </w:r>
          </w:p>
        </w:tc>
        <w:tc>
          <w:tcPr>
            <w:tcW w:type="dxa" w:w="6360"/>
            <w:shd w:fill="E9E9E9" w:val="clear"/>
            <w:tcMar>
              <w:top w:type="dxa" w:w="100"/>
              <w:left w:type="dxa" w:w="140"/>
              <w:bottom w:type="dxa" w:w="100"/>
              <w:right w:type="dxa" w:w="140"/>
            </w:tcMar>
            <w:vAlign w:val="center"/>
          </w:tcPr>
          <w:p>
            <w:r>
              <w:rPr>
                <w:b w:val="false"/>
                <w:bCs w:val="false"/>
                <w:color w:val="2B2B2B"/>
                <w:sz w:val="20"/>
                <w:szCs w:val="20"/>
              </w:rPr>
              <w:t xml:space="preserve">Snyk, Black Duck Software, OWASP Dependency-Track</w:t>
            </w:r>
          </w:p>
        </w:tc>
      </w:tr>
      <w:tr>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Dynamic &amp; API Testing (DAST)</w:t>
            </w:r>
          </w:p>
        </w:tc>
        <w:tc>
          <w:tcPr>
            <w:tcW w:type="dxa" w:w="6360"/>
            <w:shd w:fill="FFFFFF" w:val="clear"/>
            <w:tcMar>
              <w:top w:type="dxa" w:w="100"/>
              <w:left w:type="dxa" w:w="140"/>
              <w:bottom w:type="dxa" w:w="100"/>
              <w:right w:type="dxa" w:w="140"/>
            </w:tcMar>
            <w:vAlign w:val="center"/>
          </w:tcPr>
          <w:p>
            <w:r>
              <w:rPr>
                <w:b w:val="false"/>
                <w:bCs w:val="false"/>
                <w:color w:val="2B2B2B"/>
                <w:sz w:val="20"/>
                <w:szCs w:val="20"/>
              </w:rPr>
              <w:t xml:space="preserve">Burp Suite Enterprise, OWASP ZAP, Postman/Newman security suites</w:t>
            </w:r>
          </w:p>
        </w:tc>
      </w:tr>
      <w:tr>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Cloud-Native &amp; Container Security</w:t>
            </w:r>
          </w:p>
        </w:tc>
        <w:tc>
          <w:tcPr>
            <w:tcW w:type="dxa" w:w="6360"/>
            <w:shd w:fill="E9E9E9" w:val="clear"/>
            <w:tcMar>
              <w:top w:type="dxa" w:w="100"/>
              <w:left w:type="dxa" w:w="140"/>
              <w:bottom w:type="dxa" w:w="100"/>
              <w:right w:type="dxa" w:w="140"/>
            </w:tcMar>
            <w:vAlign w:val="center"/>
          </w:tcPr>
          <w:p>
            <w:r>
              <w:rPr>
                <w:b w:val="false"/>
                <w:bCs w:val="false"/>
                <w:color w:val="2B2B2B"/>
                <w:sz w:val="20"/>
                <w:szCs w:val="20"/>
              </w:rPr>
              <w:t xml:space="preserve">Aqua Security, Wiz, Trivy, Kubescape, Falco</w:t>
            </w:r>
          </w:p>
        </w:tc>
      </w:tr>
      <w:tr>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Secrets &amp; Supply Chain Integrity</w:t>
            </w:r>
          </w:p>
        </w:tc>
        <w:tc>
          <w:tcPr>
            <w:tcW w:type="dxa" w:w="6360"/>
            <w:shd w:fill="FFFFFF" w:val="clear"/>
            <w:tcMar>
              <w:top w:type="dxa" w:w="100"/>
              <w:left w:type="dxa" w:w="140"/>
              <w:bottom w:type="dxa" w:w="100"/>
              <w:right w:type="dxa" w:w="140"/>
            </w:tcMar>
            <w:vAlign w:val="center"/>
          </w:tcPr>
          <w:p>
            <w:r>
              <w:rPr>
                <w:b w:val="false"/>
                <w:bCs w:val="false"/>
                <w:color w:val="2B2B2B"/>
                <w:sz w:val="20"/>
                <w:szCs w:val="20"/>
              </w:rPr>
              <w:t xml:space="preserve">HashiCorp Vault, GitGuardian, Sigstore/Cosign, in-toto</w:t>
            </w:r>
          </w:p>
        </w:tc>
      </w:tr>
      <w:tr>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Infrastructure-as-Code Scanning</w:t>
            </w:r>
          </w:p>
        </w:tc>
        <w:tc>
          <w:tcPr>
            <w:tcW w:type="dxa" w:w="6360"/>
            <w:shd w:fill="E9E9E9" w:val="clear"/>
            <w:tcMar>
              <w:top w:type="dxa" w:w="100"/>
              <w:left w:type="dxa" w:w="140"/>
              <w:bottom w:type="dxa" w:w="100"/>
              <w:right w:type="dxa" w:w="140"/>
            </w:tcMar>
            <w:vAlign w:val="center"/>
          </w:tcPr>
          <w:p>
            <w:r>
              <w:rPr>
                <w:b w:val="false"/>
                <w:bCs w:val="false"/>
                <w:color w:val="2B2B2B"/>
                <w:sz w:val="20"/>
                <w:szCs w:val="20"/>
              </w:rPr>
              <w:t xml:space="preserve">Checkov, tfsec, Terrascan</w:t>
            </w:r>
          </w:p>
        </w:tc>
      </w:tr>
      <w:tr>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GRC &amp; Compliance Automation</w:t>
            </w:r>
          </w:p>
        </w:tc>
        <w:tc>
          <w:tcPr>
            <w:tcW w:type="dxa" w:w="6360"/>
            <w:shd w:fill="FFFFFF" w:val="clear"/>
            <w:tcMar>
              <w:top w:type="dxa" w:w="100"/>
              <w:left w:type="dxa" w:w="140"/>
              <w:bottom w:type="dxa" w:w="100"/>
              <w:right w:type="dxa" w:w="140"/>
            </w:tcMar>
            <w:vAlign w:val="center"/>
          </w:tcPr>
          <w:p>
            <w:r>
              <w:rPr>
                <w:b w:val="false"/>
                <w:bCs w:val="false"/>
                <w:color w:val="2B2B2B"/>
                <w:sz w:val="20"/>
                <w:szCs w:val="20"/>
              </w:rPr>
              <w:t xml:space="preserve">Vanta, Drata, OneTrust</w:t>
            </w:r>
          </w:p>
        </w:tc>
      </w:tr>
      <w:tr>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Continuous Monitoring / vSOC</w:t>
            </w:r>
          </w:p>
        </w:tc>
        <w:tc>
          <w:tcPr>
            <w:tcW w:type="dxa" w:w="6360"/>
            <w:shd w:fill="E9E9E9" w:val="clear"/>
            <w:tcMar>
              <w:top w:type="dxa" w:w="100"/>
              <w:left w:type="dxa" w:w="140"/>
              <w:bottom w:type="dxa" w:w="100"/>
              <w:right w:type="dxa" w:w="140"/>
            </w:tcMar>
            <w:vAlign w:val="center"/>
          </w:tcPr>
          <w:p>
            <w:r>
              <w:rPr>
                <w:b w:val="false"/>
                <w:bCs w:val="false"/>
                <w:color w:val="2B2B2B"/>
                <w:sz w:val="20"/>
                <w:szCs w:val="20"/>
              </w:rPr>
              <w:t xml:space="preserve">Datadog Security Monitoring, Wazuh, Elastic Security</w:t>
            </w:r>
          </w:p>
        </w:tc>
      </w:tr>
      <w:tr>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Smart Contract Auditing</w:t>
            </w:r>
          </w:p>
        </w:tc>
        <w:tc>
          <w:tcPr>
            <w:tcW w:type="dxa" w:w="6360"/>
            <w:shd w:fill="FFFFFF" w:val="clear"/>
            <w:tcMar>
              <w:top w:type="dxa" w:w="100"/>
              <w:left w:type="dxa" w:w="140"/>
              <w:bottom w:type="dxa" w:w="100"/>
              <w:right w:type="dxa" w:w="140"/>
            </w:tcMar>
            <w:vAlign w:val="center"/>
          </w:tcPr>
          <w:p>
            <w:r>
              <w:rPr>
                <w:b w:val="false"/>
                <w:bCs w:val="false"/>
                <w:color w:val="2B2B2B"/>
                <w:sz w:val="20"/>
                <w:szCs w:val="20"/>
              </w:rPr>
              <w:t xml:space="preserve">Slither, MythX, Foundry-based fuzzing harnesses</w:t>
            </w:r>
          </w:p>
        </w:tc>
      </w:tr>
      <w:tr>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Physical Security &amp; IoT Hardware</w:t>
            </w:r>
          </w:p>
        </w:tc>
        <w:tc>
          <w:tcPr>
            <w:tcW w:type="dxa" w:w="6360"/>
            <w:shd w:fill="E9E9E9" w:val="clear"/>
            <w:tcMar>
              <w:top w:type="dxa" w:w="100"/>
              <w:left w:type="dxa" w:w="140"/>
              <w:bottom w:type="dxa" w:w="100"/>
              <w:right w:type="dxa" w:w="140"/>
            </w:tcMar>
            <w:vAlign w:val="center"/>
          </w:tcPr>
          <w:p>
            <w:r>
              <w:rPr>
                <w:b w:val="false"/>
                <w:bCs w:val="false"/>
                <w:color w:val="2B2B2B"/>
                <w:sz w:val="20"/>
                <w:szCs w:val="20"/>
              </w:rPr>
              <w:t xml:space="preserve">Axis Communications, HID Global, Genetec, Bosch Security Systems</w:t>
            </w:r>
          </w:p>
        </w:tc>
      </w:tr>
    </w:tbl>
    <w:p>
      <w:pPr>
        <w:pStyle w:val="Heading2"/>
      </w:pPr>
      <w:r>
        <w:t xml:space="preserve">7.2 Founder Profile &amp; Hybrid “Security Engineer” Hiring Model</w:t>
      </w:r>
    </w:p>
    <w:p>
      <w:r>
        <w:t xml:space="preserve">The founder's transition from veteran software engineer to security leader is the firm's central credibility asset — and its hiring blueprint.</w:t>
      </w:r>
    </w:p>
    <w:p>
      <w:pPr>
        <w:pStyle w:val="ListParagraph"/>
        <w:numPr>
          <w:ilvl w:val="0"/>
          <w:numId w:val="2"/>
        </w:numPr>
      </w:pPr>
      <w:r>
        <w:rPr>
          <w:b/>
          <w:bCs/>
          <w:color w:val="1A1A1A"/>
        </w:rPr>
        <w:t xml:space="preserve">Engineering-first hiring bar: </w:t>
      </w:r>
      <w:r>
        <w:t xml:space="preserve">prioritizes candidates who can read and write production-grade code in at least one backend language (Go, Python, Java, Rust) over audit-only or checklist-driven backgrounds.</w:t>
      </w:r>
    </w:p>
    <w:p>
      <w:pPr>
        <w:pStyle w:val="ListParagraph"/>
        <w:numPr>
          <w:ilvl w:val="0"/>
          <w:numId w:val="2"/>
        </w:numPr>
      </w:pPr>
      <w:r>
        <w:rPr>
          <w:b/>
          <w:bCs/>
          <w:color w:val="1A1A1A"/>
        </w:rPr>
        <w:t xml:space="preserve">Dual-track career ladder: </w:t>
      </w:r>
      <w:r>
        <w:t xml:space="preserve">every security engineer maintains active contribution rights to remediation pull requests, not just findings reports.</w:t>
      </w:r>
    </w:p>
    <w:p>
      <w:pPr>
        <w:pStyle w:val="ListParagraph"/>
        <w:numPr>
          <w:ilvl w:val="0"/>
          <w:numId w:val="2"/>
        </w:numPr>
      </w:pPr>
      <w:r>
        <w:rPr>
          <w:b/>
          <w:bCs/>
          <w:color w:val="1A1A1A"/>
        </w:rPr>
        <w:t xml:space="preserve">Quarterly build-week rotations: </w:t>
      </w:r>
      <w:r>
        <w:t xml:space="preserve">security engineers ship a real internal tool or open-source contribution each quarter to keep engineering muscle sharp.</w:t>
      </w:r>
    </w:p>
    <w:p>
      <w:pPr>
        <w:pStyle w:val="ListParagraph"/>
        <w:numPr>
          <w:ilvl w:val="0"/>
          <w:numId w:val="2"/>
        </w:numPr>
      </w:pPr>
      <w:r>
        <w:rPr>
          <w:b/>
          <w:bCs/>
          <w:color w:val="1A1A1A"/>
        </w:rPr>
        <w:t xml:space="preserve">Embedded pairing model: </w:t>
      </w:r>
      <w:r>
        <w:t xml:space="preserve">every client engagement assigns a security engineer to shadow the client's actual sprint cadence — standups, code review, retros — rather than operating as an external auditor.</w:t>
      </w:r>
    </w:p>
    <w:p>
      <w:pPr>
        <w:pStyle w:val="ListParagraph"/>
        <w:numPr>
          <w:ilvl w:val="0"/>
          <w:numId w:val="2"/>
        </w:numPr>
      </w:pPr>
      <w:r>
        <w:rPr>
          <w:b/>
          <w:bCs/>
          <w:color w:val="1A1A1A"/>
        </w:rPr>
        <w:t xml:space="preserve">Outcome-weighted compensation: </w:t>
      </w:r>
      <w:r>
        <w:t xml:space="preserve">promotion criteria weighted toward remediation throughput and developer-satisfaction scores, not raw vulnerability counts, to avoid incentivizing low-value findings.</w:t>
      </w:r>
    </w:p>
    <w:p>
      <w:pPr>
        <w:pStyle w:val="ListParagraph"/>
        <w:numPr>
          <w:ilvl w:val="0"/>
          <w:numId w:val="2"/>
        </w:numPr>
      </w:pPr>
      <w:r>
        <w:rPr>
          <w:b/>
          <w:bCs/>
          <w:color w:val="1A1A1A"/>
        </w:rPr>
        <w:t xml:space="preserve">Founder-led technical interviews: </w:t>
      </w:r>
      <w:r>
        <w:t xml:space="preserve">a live, paired secure-code-review exercise on a real, anonymized fintech vulnerability class ensures every hire embodies the “developers, for developers” thesis.</w:t>
      </w:r>
    </w:p>
    <w:p>
      <w:pPr>
        <w:pStyle w:val="ListParagraph"/>
        <w:numPr>
          <w:ilvl w:val="0"/>
          <w:numId w:val="2"/>
        </w:numPr>
      </w:pPr>
      <w:r>
        <w:rPr>
          <w:b/>
          <w:bCs/>
          <w:color w:val="1A1A1A"/>
        </w:rPr>
        <w:t xml:space="preserve">Regional hiring pods: </w:t>
      </w:r>
      <w:r>
        <w:t xml:space="preserve">senior engineers recruited from local talent hubs in each operating region — e.g., Dublin/Amsterdam for Europe and Lagos/Nairobi for Africa — to pair native regulatory fluency with the firm's engineering bar.</w:t>
      </w:r>
    </w:p>
    <w:p>
      <w:pPr>
        <w:pStyle w:val="Heading2"/>
      </w:pPr>
      <w:r>
        <w:t xml:space="preserve">7.3 Closing Note</w:t>
      </w:r>
    </w:p>
    <w:p>
      <w:r>
        <w:t xml:space="preserve">This blueprint is structured as a living strategic document. Each section is designed to be stress-tested against board feedback, refined through early customer discovery, and updated as the leadership roster and go-to-market motion are finalized.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4D4D4" w:sz="4" w:space="4"/>
      </w:pBdr>
      <w:tabs>
        <w:tab w:val="right" w:pos="9026"/>
      </w:tabs>
    </w:pPr>
    <w:r>
      <w:rPr>
        <w:color w:val="8C8C8C"/>
        <w:sz w:val="15"/>
        <w:szCs w:val="15"/>
      </w:rPr>
      <w:t xml:space="preserve">CONFIDENTIAL — Codeward Security</w:t>
    </w:r>
    <w:r>
      <w:rPr>
        <w:color w:val="8C8C8C"/>
        <w:sz w:val="15"/>
        <w:szCs w:val="15"/>
      </w:rPr>
      <w:t xml:space="preserve">	Page </w:t>
    </w:r>
    <w:r>
      <w:rPr>
        <w:color w:val="8C8C8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192E" w:sz="6" w:space="4"/>
      </w:pBdr>
      <w:spacing w:after="80"/>
      <w:jc w:val="center"/>
    </w:pPr>
    <w:r>
      <w:rPr>
        <w:b/>
        <w:bCs/>
        <w:color w:val="8C8C8C"/>
        <w:sz w:val="15"/>
        <w:szCs w:val="15"/>
      </w:rPr>
      <w:t xml:space="preserve">CODEWARD SECURITY  —  ENTERPRISE CYBERSECURITY BUSINESS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ind w:left="720" w:hanging="360"/>
      </w:pPr>
      <w:rPr>
        <w:rFonts w:ascii="Arial" w:cs="Arial" w:eastAsia="Arial" w:hAnsi="Arial"/>
        <w:color w:val="A6192E"/>
      </w:rPr>
    </w:lvl>
    <w:lvl w:ilvl="1" w15:tentative="1">
      <w:start w:val="1"/>
      <w:numFmt w:val="bullet"/>
      <w:lvlText w:val="–"/>
      <w:lvlJc w:val="left"/>
      <w:pPr>
        <w:spacing w:after="100"/>
        <w:ind w:left="1440" w:hanging="360"/>
      </w:pPr>
      <w:rPr>
        <w:rFonts w:ascii="Arial" w:cs="Arial" w:eastAsia="Arial" w:hAnsi="Arial"/>
        <w:color w:val="8C8C8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192E" w:sz="18" w:space="6"/>
      </w:pBdr>
      <w:spacing w:after="240" w:before="480"/>
      <w:outlineLvl w:val="0"/>
    </w:pPr>
    <w:rPr>
      <w:rFonts w:ascii="Arial" w:cs="Arial" w:eastAsia="Arial" w:hAnsi="Arial"/>
      <w:b/>
      <w:bCs/>
      <w:color w:val="1A1A1A"/>
      <w:sz w:val="32"/>
      <w:szCs w:val="32"/>
    </w:rPr>
  </w:style>
  <w:style w:type="paragraph" w:styleId="Heading2">
    <w:name w:val="Heading 2"/>
    <w:basedOn w:val="Normal"/>
    <w:next w:val="Normal"/>
    <w:qFormat/>
    <w:pPr>
      <w:spacing w:after="160" w:before="320"/>
      <w:outlineLvl w:val="1"/>
    </w:pPr>
    <w:rPr>
      <w:rFonts w:ascii="Arial" w:cs="Arial" w:eastAsia="Arial" w:hAnsi="Arial"/>
      <w:b/>
      <w:bCs/>
      <w:color w:val="A6192E"/>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2026-06-22T02:45:26.466Z</dcterms:created>
  <dcterms:modified xsi:type="dcterms:W3CDTF">2026-06-22T02:45:26.479Z</dcterms:modified>
</cp:coreProperties>
</file>

<file path=docProps/custom.xml><?xml version="1.0" encoding="utf-8"?>
<Properties xmlns="http://schemas.openxmlformats.org/officeDocument/2006/custom-properties" xmlns:vt="http://schemas.openxmlformats.org/officeDocument/2006/docPropsVTypes"/>
</file>