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500"/>
        <w:jc w:val="center"/>
      </w:pPr>
      <w:r>
        <w:rPr>
          <w:b/>
          <w:bCs/>
          <w:color w:val="A6192E"/>
          <w:sz w:val="22"/>
          <w:szCs w:val="22"/>
        </w:rPr>
        <w:t xml:space="preserve">ENTERPRISE CYBERSECURITY BUSINESS BLUEPRINT</w:t>
      </w:r>
    </w:p>
    <w:p>
      <w:pPr>
        <w:spacing w:after="120"/>
        <w:jc w:val="center"/>
      </w:pPr>
      <w:r>
        <w:rPr>
          <w:b/>
          <w:bCs/>
          <w:color w:val="1A1A1A"/>
          <w:sz w:val="64"/>
          <w:szCs w:val="64"/>
        </w:rPr>
        <w:t xml:space="preserve">Codeward Security</w:t>
      </w:r>
    </w:p>
    <w:p>
      <w:pPr>
        <w:spacing w:after="280"/>
        <w:jc w:val="center"/>
      </w:pPr>
      <w:r>
        <w:rPr>
          <w:b/>
          <w:bCs/>
          <w:i/>
          <w:iCs/>
          <w:color w:val="A6192E"/>
          <w:sz w:val="28"/>
          <w:szCs w:val="28"/>
        </w:rPr>
        <w:t xml:space="preserve">Security Built by Developers, for Developers</w:t>
      </w:r>
    </w:p>
    <w:p>
      <w:pPr>
        <w:pBdr>
          <w:bottom w:val="single" w:color="8C8C8C" w:sz="16" w:space="4"/>
        </w:pBdr>
        <w:spacing w:after="280"/>
        <w:jc w:val="center"/>
      </w:pPr>
      <w:r>
        <w:t xml:space="preserve"/>
      </w:r>
    </w:p>
    <w:p>
      <w:pPr>
        <w:spacing w:after="80"/>
        <w:jc w:val="center"/>
      </w:pPr>
      <w:r>
        <w:rPr>
          <w:color w:val="404040"/>
          <w:sz w:val="22"/>
          <w:szCs w:val="22"/>
        </w:rPr>
        <w:t xml:space="preserve">A Development-First Cybersecurity Practice for Fintech Platforms, Neo-Banks, Decentralized Finance, Commercial Banks &amp; Financial Regulators</w:t>
      </w:r>
    </w:p>
    <w:p>
      <w:pPr>
        <w:spacing w:after="600"/>
        <w:jc w:val="center"/>
      </w:pPr>
      <w:r>
        <w:rPr>
          <w:b/>
          <w:bCs/>
          <w:color w:val="8C8C8C"/>
          <w:sz w:val="20"/>
          <w:szCs w:val="20"/>
        </w:rPr>
        <w:t xml:space="preserve">Operating Across North America, Europe &amp; Africa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A1A1A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CONFIDENTIAL  —  STRATEGIC BUSINESS BLUEPRINT</w:t>
            </w:r>
          </w:p>
        </w:tc>
      </w:tr>
    </w:tbl>
    <w:p>
      <w:pPr>
        <w:spacing w:before="100"/>
        <w:jc w:val="center"/>
      </w:pPr>
      <w:r>
        <w:rPr>
          <w:b/>
          <w:bCs/>
          <w:color w:val="8C8C8C"/>
          <w:sz w:val="20"/>
          <w:szCs w:val="20"/>
        </w:rPr>
        <w:t xml:space="preserve">PREPARED FOR:  </w:t>
      </w:r>
      <w:r>
        <w:rPr>
          <w:color w:val="404040"/>
          <w:sz w:val="20"/>
          <w:szCs w:val="20"/>
        </w:rPr>
        <w:t xml:space="preserve">Board of Directors &amp; Executive Leadership</w:t>
      </w:r>
    </w:p>
    <w:p>
      <w:pPr>
        <w:spacing w:before="100"/>
        <w:jc w:val="center"/>
      </w:pPr>
      <w:r>
        <w:rPr>
          <w:b/>
          <w:bCs/>
          <w:color w:val="8C8C8C"/>
          <w:sz w:val="20"/>
          <w:szCs w:val="20"/>
        </w:rPr>
        <w:t xml:space="preserve">PREPARED BY:  </w:t>
      </w:r>
      <w:r>
        <w:rPr>
          <w:color w:val="404040"/>
          <w:sz w:val="20"/>
          <w:szCs w:val="20"/>
        </w:rPr>
        <w:t xml:space="preserve">[Insert Founder Name], Founder &amp; Chief Security Architect</w:t>
      </w:r>
    </w:p>
    <w:p>
      <w:pPr>
        <w:spacing w:before="100"/>
        <w:jc w:val="center"/>
      </w:pPr>
      <w:r>
        <w:rPr>
          <w:b/>
          <w:bCs/>
          <w:color w:val="8C8C8C"/>
          <w:sz w:val="20"/>
          <w:szCs w:val="20"/>
        </w:rPr>
        <w:t xml:space="preserve">DATE:  </w:t>
      </w:r>
      <w:r>
        <w:rPr>
          <w:color w:val="404040"/>
          <w:sz w:val="20"/>
          <w:szCs w:val="20"/>
        </w:rPr>
        <w:t xml:space="preserve">[Insert Date]</w:t>
      </w:r>
    </w:p>
    <w:p>
      <w:r>
        <w:br w:type="page"/>
      </w:r>
    </w:p>
    <w:p>
      <w:pPr>
        <w:pStyle w:val="Heading1"/>
      </w:pPr>
      <w:r>
        <w:t xml:space="preserve">1. Executive Summary &amp; Development-First Value Proposition</w:t>
      </w:r>
    </w:p>
    <w:p>
      <w:pPr>
        <w:pStyle w:val="Heading2"/>
      </w:pPr>
      <w:r>
        <w:t xml:space="preserve">1.1 Company Identity</w:t>
      </w:r>
    </w:p>
    <w:p>
      <w:r>
        <w:t xml:space="preserve">The firm operates under the name Codeward Security, chosen to signal the firm's core differentiator at first glance: security engineered into software, not discovered after the fact and handed back as a findings PDF. “Code” plus “Ward” (guardian) signals protection embedded directly inside the codebase rather than bolted onto the perimeter.</w:t>
      </w:r>
    </w:p>
    <w:tbl>
      <w:tblPr>
        <w:tblW w:type="dxa" w:w="9360"/>
        <w:tblBorders>
          <w:top w:val="single" w:color="D4D4D4" w:sz="2"/>
          <w:left w:val="single" w:color="D4D4D4" w:sz="2"/>
          <w:bottom w:val="single" w:color="D4D4D4" w:sz="2"/>
          <w:right w:val="single" w:color="D4D4D4" w:sz="2"/>
          <w:insideH w:val="single" w:color="D4D4D4" w:sz="2"/>
          <w:insideV w:val="single" w:color="D4D4D4" w:sz="2"/>
        </w:tblBorders>
      </w:tblPr>
      <w:tblGrid>
        <w:gridCol w:w="2200"/>
        <w:gridCol w:w="2660"/>
        <w:gridCol w:w="45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6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0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Tagline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Selected</w:t>
            </w:r>
          </w:p>
        </w:tc>
        <w:tc>
          <w:tcPr>
            <w:tcW w:type="dxa" w:w="26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Codeward Security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“Where Code Meets Conviction.”</w:t>
            </w:r>
          </w:p>
        </w:tc>
      </w:tr>
      <w:tr>
        <w:tc>
          <w:tcPr>
            <w:tcW w:type="dxa" w:w="22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Reserve Option</w:t>
            </w:r>
          </w:p>
        </w:tc>
        <w:tc>
          <w:tcPr>
            <w:tcW w:type="dxa" w:w="266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RootCommit Security</w:t>
            </w:r>
          </w:p>
        </w:tc>
        <w:tc>
          <w:tcPr>
            <w:tcW w:type="dxa" w:w="45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“Fixing the Root, Not the Symptom.”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Reserve Option</w:t>
            </w:r>
          </w:p>
        </w:tc>
        <w:tc>
          <w:tcPr>
            <w:tcW w:type="dxa" w:w="26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Syntaxis Cyber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“The Grammar of Secure Software.”</w:t>
            </w:r>
          </w:p>
        </w:tc>
      </w:tr>
    </w:tbl>
    <w:p>
      <w:r>
        <w:rPr>
          <w:i/>
          <w:iCs/>
          <w:color w:val="8C8C8C"/>
          <w:sz w:val="19"/>
          <w:szCs w:val="19"/>
        </w:rPr>
        <w:t xml:space="preserve">Trademark clearance and domain registration for Codeward Security are in progress; the two reserve options above remain available as fallback identities should a conflict surface.</w:t>
      </w:r>
    </w:p>
    <w:p>
      <w:pPr>
        <w:pStyle w:val="Heading2"/>
      </w:pPr>
      <w:r>
        <w:t xml:space="preserve">1.2 Mission Statement</w:t>
      </w:r>
    </w:p>
    <w:p>
      <w:pPr>
        <w:pBdr>
          <w:left w:val="single" w:color="A6192E" w:sz="24" w:space="14"/>
        </w:pBdr>
        <w:spacing w:after="240" w:before="160"/>
        <w:ind w:left="360"/>
      </w:pPr>
      <w:r>
        <w:rPr>
          <w:i/>
          <w:iCs/>
          <w:color w:val="404040"/>
          <w:sz w:val="23"/>
          <w:szCs w:val="23"/>
        </w:rPr>
        <w:t xml:space="preserve">Codeward Security exists to close the gap between the velocity of modern software engineering and the uncompromising security standards demanded by global finance. We do not merely flag vulnerabilities — we sit inside the pull request, the pipeline, and the architecture review, fixing security defects at the source so that every fintech platform, neo-bank, and DeFi protocol we touch ships fast and ships safe. Founded by engineers, built for engineers, trusted by regulators.</w:t>
      </w:r>
    </w:p>
    <w:p>
      <w:pPr>
        <w:pStyle w:val="Heading2"/>
      </w:pPr>
      <w:r>
        <w:t xml:space="preserve">1.3 Core Value Proposition</w:t>
      </w:r>
    </w:p>
    <w:p>
      <w:r>
        <w:t xml:space="preserve">Differentiation rests on three pillars that traditional, audit-only security consultancies cannot replicate, because they were not built by practitioners who have shipped production code under live PCI-DSS and SOC 2 pressure.</w:t>
      </w:r>
    </w:p>
    <w:p>
      <w:pPr>
        <w:pStyle w:val="Heading3"/>
      </w:pPr>
      <w:r>
        <w:t xml:space="preserve">Pillar A — AI-Assisted Secure Code Review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Hybrid review pipeline: </w:t>
      </w:r>
      <w:r>
        <w:t xml:space="preserve">human-led, LLM-assisted triage that drafts remediation patches and routes only true-positive, business-critical defects to senior security engineers.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Financial-domain context: </w:t>
      </w:r>
      <w:r>
        <w:t xml:space="preserve">analysis models tuned to transaction logic, ledger integrity, and cryptographic key handling — not generic web-app vulnerability patterns.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Remediation-as-code: </w:t>
      </w:r>
      <w:r>
        <w:t xml:space="preserve">every finding ships with a proposed code-level fix, not just a CVE reference and a severity score.</w:t>
      </w:r>
    </w:p>
    <w:p>
      <w:pPr>
        <w:pStyle w:val="Heading3"/>
      </w:pPr>
      <w:r>
        <w:t xml:space="preserve">Pillar B — DevSecOps Pipeline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Native pipeline gates: </w:t>
      </w:r>
      <w:r>
        <w:t xml:space="preserve">security checks embedded directly into GitHub Actions, GitLab CI, Jenkins, and CircleCI — no separate portal developers must context-switch into.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Policy-as-code guardrails: </w:t>
      </w:r>
      <w:r>
        <w:t xml:space="preserve">Open Policy Agent / Conftest rules that block insecure infrastructure-as-code and container images before merge, not after deployment.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MTTR as an engineering KPI: </w:t>
      </w:r>
      <w:r>
        <w:t xml:space="preserve">mean-time-to-remediate tracked and reported alongside deployment frequency and lead time for changes.</w:t>
      </w:r>
    </w:p>
    <w:p>
      <w:pPr>
        <w:pStyle w:val="Heading3"/>
      </w:pPr>
      <w:r>
        <w:t xml:space="preserve">Pillar C — API &amp; Transaction-Layer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Payment-rail specialization: </w:t>
      </w:r>
      <w:r>
        <w:t xml:space="preserve">deep expertise in REST, GraphQL, and ISO 20022 / SWIFT messaging security.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Fraud-vector testing: </w:t>
      </w:r>
      <w:r>
        <w:t xml:space="preserve">business-logic abuse testing for account takeover, transaction replay, ledger manipulation, and smart contract reentrancy.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Schema drift detection: </w:t>
      </w:r>
      <w:r>
        <w:t xml:space="preserve">continuous monitoring for shadow and zombie API endpoints before attackers find them.</w:t>
      </w:r>
    </w:p>
    <w:p>
      <w:pPr>
        <w:pStyle w:val="Heading2"/>
      </w:pPr>
      <w:r>
        <w:t xml:space="preserve">1.4 Geographic Footprint</w:t>
      </w:r>
    </w:p>
    <w:p>
      <w:r>
        <w:t xml:space="preserve">Codeward Security is architected as a global practice from inception, anchored by three regional pillars detailed fully in Section 4.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North America: </w:t>
      </w:r>
      <w:r>
        <w:t xml:space="preserve">primary launch market and engineering base, anchored in PCI-DSS, SOC 2, and GLBA-driven fintech and banking demand.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Europe: </w:t>
      </w:r>
      <w:r>
        <w:t xml:space="preserve">a regulatory-depth entry wedge built around DORA, NIS2, and GDPR — the most mature binding financial-cyber regime in the world.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Africa: </w:t>
      </w:r>
      <w:r>
        <w:t xml:space="preserve">a mobile-first growth wedge serving the continent's fast-growing, mobile-money-led fintech ecosystems across Nigeria, Kenya, South Africa, and beyond.</w:t>
      </w:r>
    </w:p>
    <w:p>
      <w:r>
        <w:br w:type="page"/>
      </w:r>
    </w:p>
    <w:p>
      <w:pPr>
        <w:pStyle w:val="Heading1"/>
      </w:pPr>
      <w:r>
        <w:t xml:space="preserve">2. Software-Centric &amp; Fintech Security Services Portfolio</w:t>
      </w:r>
    </w:p>
    <w:p>
      <w:r>
        <w:t xml:space="preserve">The portfolio is organized around the software development lifecycle (SDLC) rather than around generic security domains — reflecting the firm's core thesis that security is a property of how software is built, not an artifact bolted on after release.</w:t>
      </w:r>
    </w:p>
    <w:p>
      <w:pPr>
        <w:pStyle w:val="Heading2"/>
      </w:pPr>
      <w:r>
        <w:t xml:space="preserve">2.1 Application Security (AppSec) &amp; Code Audit</w:t>
      </w:r>
    </w:p>
    <w:p>
      <w:r>
        <w:t xml:space="preserve">Source-level assurance across the full SDLC, anchored in manual expertise and automated tooling working in tandem.</w:t>
      </w:r>
    </w:p>
    <w:p>
      <w:pPr>
        <w:pStyle w:val="ListParagraph"/>
        <w:numPr>
          <w:ilvl w:val="0"/>
          <w:numId w:val="2"/>
        </w:numPr>
      </w:pPr>
      <w:r>
        <w:t xml:space="preserve">Static Application Security Testing (SAST): line-by-line source analysis for injection flaws, insecure cryptography, hardcoded secrets, and authentication logic errors.</w:t>
      </w:r>
    </w:p>
    <w:p>
      <w:pPr>
        <w:pStyle w:val="ListParagraph"/>
        <w:numPr>
          <w:ilvl w:val="0"/>
          <w:numId w:val="2"/>
        </w:numPr>
      </w:pPr>
      <w:r>
        <w:t xml:space="preserve">Dynamic Application Security Testing (DAST): black-box and authenticated runtime testing of staging and pre-production environments to validate real-world exploitability.</w:t>
      </w:r>
    </w:p>
    <w:p>
      <w:pPr>
        <w:pStyle w:val="ListParagraph"/>
        <w:numPr>
          <w:ilvl w:val="0"/>
          <w:numId w:val="2"/>
        </w:numPr>
      </w:pPr>
      <w:r>
        <w:t xml:space="preserve">Software Composition Analysis (SCA): continuous inventory and risk-scoring of open-source dependencies, transitive packages, and license-compliance exposure.</w:t>
      </w:r>
    </w:p>
    <w:p>
      <w:pPr>
        <w:pStyle w:val="ListParagraph"/>
        <w:numPr>
          <w:ilvl w:val="0"/>
          <w:numId w:val="2"/>
        </w:numPr>
      </w:pPr>
      <w:r>
        <w:t xml:space="preserve">Manual secure code review performed by engineers with production fintech experience, focused on business logic, not just pattern matching.</w:t>
      </w:r>
    </w:p>
    <w:p>
      <w:pPr>
        <w:pStyle w:val="ListParagraph"/>
        <w:numPr>
          <w:ilvl w:val="0"/>
          <w:numId w:val="2"/>
        </w:numPr>
      </w:pPr>
      <w:r>
        <w:t xml:space="preserve">Secrets and credential scanning across repositories, commit history, and CI/CD logs.</w:t>
      </w:r>
    </w:p>
    <w:p>
      <w:pPr>
        <w:pStyle w:val="ListParagraph"/>
        <w:numPr>
          <w:ilvl w:val="0"/>
          <w:numId w:val="2"/>
        </w:numPr>
      </w:pPr>
      <w:r>
        <w:t xml:space="preserve">Secure SDLC maturity assessments benchmarked against OWASP SAMM and BSIMM.</w:t>
      </w:r>
    </w:p>
    <w:p>
      <w:pPr>
        <w:pStyle w:val="Heading2"/>
      </w:pPr>
      <w:r>
        <w:t xml:space="preserve">2.2 DevSecOps-as-a-Service</w:t>
      </w:r>
    </w:p>
    <w:p>
      <w:r>
        <w:t xml:space="preserve">Security is embedded as code directly into engineering workflows so financial applications are “born secure” rather than retrofitted.</w:t>
      </w:r>
    </w:p>
    <w:p>
      <w:pPr>
        <w:pStyle w:val="ListParagraph"/>
        <w:numPr>
          <w:ilvl w:val="0"/>
          <w:numId w:val="2"/>
        </w:numPr>
      </w:pPr>
      <w:r>
        <w:t xml:space="preserve">CI/CD pipeline instrumentation across GitHub Actions, GitLab CI, Jenkins, and Azure DevOps with automated security gates at commit, build, and deploy stages.</w:t>
      </w:r>
    </w:p>
    <w:p>
      <w:pPr>
        <w:pStyle w:val="ListParagraph"/>
        <w:numPr>
          <w:ilvl w:val="0"/>
          <w:numId w:val="2"/>
        </w:numPr>
      </w:pPr>
      <w:r>
        <w:t xml:space="preserve">Infrastructure-as-Code (IaC) scanning for Terraform, CloudFormation, and Pulumi configurations prior to provisioning.</w:t>
      </w:r>
    </w:p>
    <w:p>
      <w:pPr>
        <w:pStyle w:val="ListParagraph"/>
        <w:numPr>
          <w:ilvl w:val="0"/>
          <w:numId w:val="2"/>
        </w:numPr>
      </w:pPr>
      <w:r>
        <w:t xml:space="preserve">Container image hardening and signed-artifact enforcement (Cosign / Sigstore) to guarantee supply-chain integrity.</w:t>
      </w:r>
    </w:p>
    <w:p>
      <w:pPr>
        <w:pStyle w:val="ListParagraph"/>
        <w:numPr>
          <w:ilvl w:val="0"/>
          <w:numId w:val="2"/>
        </w:numPr>
      </w:pPr>
      <w:r>
        <w:t xml:space="preserve">Policy-as-code guardrails that fail builds automatically on critical or high-severity findings, with developer-friendly inline remediation guidance.</w:t>
      </w:r>
    </w:p>
    <w:p>
      <w:pPr>
        <w:pStyle w:val="ListParagraph"/>
        <w:numPr>
          <w:ilvl w:val="0"/>
          <w:numId w:val="2"/>
        </w:numPr>
      </w:pPr>
      <w:r>
        <w:t xml:space="preserve">Security champions program embedding trained engineers within client development squads to sustain the practice post-engagement.</w:t>
      </w:r>
    </w:p>
    <w:p>
      <w:pPr>
        <w:pStyle w:val="ListParagraph"/>
        <w:numPr>
          <w:ilvl w:val="0"/>
          <w:numId w:val="2"/>
        </w:numPr>
      </w:pPr>
      <w:r>
        <w:t xml:space="preserve">Software Bill of Materials (SBOM) generation and continuous monitoring for every release artifact.</w:t>
      </w:r>
    </w:p>
    <w:p>
      <w:pPr>
        <w:pStyle w:val="Heading2"/>
      </w:pPr>
      <w:r>
        <w:t xml:space="preserve">2.3 API &amp; Cloud-Native Security</w:t>
      </w:r>
    </w:p>
    <w:p>
      <w:r>
        <w:t xml:space="preserve">Modern fintech infrastructure lives in distributed, ephemeral, API-first environments — hardening practices are built natively for that reality.</w:t>
      </w:r>
    </w:p>
    <w:p>
      <w:pPr>
        <w:pStyle w:val="ListParagraph"/>
        <w:numPr>
          <w:ilvl w:val="0"/>
          <w:numId w:val="2"/>
        </w:numPr>
      </w:pPr>
      <w:r>
        <w:t xml:space="preserve">REST and GraphQL API security testing: authorization bypass, mass assignment, broken object-level authorization (BOLA), and rate-limit evasion.</w:t>
      </w:r>
    </w:p>
    <w:p>
      <w:pPr>
        <w:pStyle w:val="ListParagraph"/>
        <w:numPr>
          <w:ilvl w:val="0"/>
          <w:numId w:val="2"/>
        </w:numPr>
      </w:pPr>
      <w:r>
        <w:t xml:space="preserve">Microservices security architecture review across Kubernetes and Docker, including service-mesh (Istio/Linkerd) mTLS enforcement.</w:t>
      </w:r>
    </w:p>
    <w:p>
      <w:pPr>
        <w:pStyle w:val="ListParagraph"/>
        <w:numPr>
          <w:ilvl w:val="0"/>
          <w:numId w:val="2"/>
        </w:numPr>
      </w:pPr>
      <w:r>
        <w:t xml:space="preserve">Cloud-native infrastructure hardening for AWS, Azure (including Azure Financial Services Cloud configurations), and GCP, mapped to CIS Benchmarks.</w:t>
      </w:r>
    </w:p>
    <w:p>
      <w:pPr>
        <w:pStyle w:val="ListParagraph"/>
        <w:numPr>
          <w:ilvl w:val="0"/>
          <w:numId w:val="2"/>
        </w:numPr>
      </w:pPr>
      <w:r>
        <w:t xml:space="preserve">Identity and access management (IAM) least-privilege design and entitlement reviews across multi-account / multi-subscription environments.</w:t>
      </w:r>
    </w:p>
    <w:p>
      <w:pPr>
        <w:pStyle w:val="ListParagraph"/>
        <w:numPr>
          <w:ilvl w:val="0"/>
          <w:numId w:val="2"/>
        </w:numPr>
      </w:pPr>
      <w:r>
        <w:t xml:space="preserve">Secrets management architecture (HashiCorp Vault, AWS Secrets Manager, Azure Key Vault) with automated rotation policies.</w:t>
      </w:r>
    </w:p>
    <w:p>
      <w:pPr>
        <w:pStyle w:val="ListParagraph"/>
        <w:numPr>
          <w:ilvl w:val="0"/>
          <w:numId w:val="2"/>
        </w:numPr>
      </w:pPr>
      <w:r>
        <w:t xml:space="preserve">Zero-trust network segmentation design for payment-processing environments.</w:t>
      </w:r>
    </w:p>
    <w:p>
      <w:pPr>
        <w:pStyle w:val="Heading2"/>
      </w:pPr>
      <w:r>
        <w:t xml:space="preserve">2.4 Offensive Security (Red Teaming)</w:t>
      </w:r>
    </w:p>
    <w:p>
      <w:r>
        <w:t xml:space="preserve">Adversarial testing engineered specifically for the threat models that target financial transaction systems, not generic corporate networks.</w:t>
      </w:r>
    </w:p>
    <w:p>
      <w:pPr>
        <w:pStyle w:val="ListParagraph"/>
        <w:numPr>
          <w:ilvl w:val="0"/>
          <w:numId w:val="2"/>
        </w:numPr>
      </w:pPr>
      <w:r>
        <w:t xml:space="preserve">Fintech-focused penetration testing of web, mobile, and API attack surfaces, including payment gateway and core banking integrations.</w:t>
      </w:r>
    </w:p>
    <w:p>
      <w:pPr>
        <w:pStyle w:val="ListParagraph"/>
        <w:numPr>
          <w:ilvl w:val="0"/>
          <w:numId w:val="2"/>
        </w:numPr>
      </w:pPr>
      <w:r>
        <w:t xml:space="preserve">Smart contract auditing for DeFi protocols: reentrancy, oracle manipulation, flash-loan exploits, integer overflow, and access-control flaws.</w:t>
      </w:r>
    </w:p>
    <w:p>
      <w:pPr>
        <w:pStyle w:val="ListParagraph"/>
        <w:numPr>
          <w:ilvl w:val="0"/>
          <w:numId w:val="2"/>
        </w:numPr>
      </w:pPr>
      <w:r>
        <w:t xml:space="preserve">Threat modeling using the STRIDE methodology, integrated directly into architecture and design-review sprints.</w:t>
      </w:r>
    </w:p>
    <w:p>
      <w:pPr>
        <w:pStyle w:val="ListParagraph"/>
        <w:numPr>
          <w:ilvl w:val="0"/>
          <w:numId w:val="2"/>
        </w:numPr>
      </w:pPr>
      <w:r>
        <w:t xml:space="preserve">Business logic flaw discovery: transaction sequencing abuse, race conditions in balance updates, and authorization workflow bypass.</w:t>
      </w:r>
    </w:p>
    <w:p>
      <w:pPr>
        <w:pStyle w:val="ListParagraph"/>
        <w:numPr>
          <w:ilvl w:val="0"/>
          <w:numId w:val="2"/>
        </w:numPr>
      </w:pPr>
      <w:r>
        <w:t xml:space="preserve">Red team / purple team exercises simulating organized financial-crime tactics, techniques, and procedures (TTPs).</w:t>
      </w:r>
    </w:p>
    <w:p>
      <w:pPr>
        <w:pStyle w:val="ListParagraph"/>
        <w:numPr>
          <w:ilvl w:val="0"/>
          <w:numId w:val="2"/>
        </w:numPr>
      </w:pPr>
      <w:r>
        <w:t xml:space="preserve">Social engineering and physical security assessments for institutions handling CBDC or national payment infrastructure.</w:t>
      </w:r>
    </w:p>
    <w:p>
      <w:pPr>
        <w:pStyle w:val="Heading2"/>
      </w:pPr>
      <w:r>
        <w:t xml:space="preserve">2.5 Fintech GRC &amp; Regulatory Compliance</w:t>
      </w:r>
    </w:p>
    <w:p>
      <w:r>
        <w:t xml:space="preserve">Compliance engineered as a byproduct of secure architecture, not a paperwork exercise bolted onto an annual audit cycle. Programs are built modularly across jurisdictions rather than templated from a single home-market framework.</w:t>
      </w:r>
    </w:p>
    <w:p>
      <w:pPr>
        <w:pStyle w:val="ListParagraph"/>
        <w:numPr>
          <w:ilvl w:val="0"/>
          <w:numId w:val="2"/>
        </w:numPr>
      </w:pPr>
      <w:r>
        <w:t xml:space="preserve">PCI-DSS v4.0 readiness assessment and gap remediation for payment card environments.</w:t>
      </w:r>
    </w:p>
    <w:p>
      <w:pPr>
        <w:pStyle w:val="ListParagraph"/>
        <w:numPr>
          <w:ilvl w:val="0"/>
          <w:numId w:val="2"/>
        </w:numPr>
      </w:pPr>
      <w:r>
        <w:t xml:space="preserve">SOC 2 Type II readiness, control design, and continuous evidence collection automation.</w:t>
      </w:r>
    </w:p>
    <w:p>
      <w:pPr>
        <w:pStyle w:val="ListParagraph"/>
        <w:numPr>
          <w:ilvl w:val="0"/>
          <w:numId w:val="2"/>
        </w:numPr>
      </w:pPr>
      <w:r>
        <w:t xml:space="preserve">DORA (Digital Operational Resilience Act) and NIS2 readiness for EU-regulated and EU-adjacent entities, including ICT third-party risk, Threat-Led Penetration Testing (TLPT) support, and incident-reporting frameworks.</w:t>
      </w:r>
    </w:p>
    <w:p>
      <w:pPr>
        <w:pStyle w:val="ListParagraph"/>
        <w:numPr>
          <w:ilvl w:val="0"/>
          <w:numId w:val="2"/>
        </w:numPr>
      </w:pPr>
      <w:r>
        <w:t xml:space="preserve">GLBA Safeguards Rule compliance for U.S. financial institutions handling nonpublic personal information.</w:t>
      </w:r>
    </w:p>
    <w:p>
      <w:pPr>
        <w:pStyle w:val="ListParagraph"/>
        <w:numPr>
          <w:ilvl w:val="0"/>
          <w:numId w:val="2"/>
        </w:numPr>
      </w:pPr>
      <w:r>
        <w:t xml:space="preserve">ISO 27001 implementation and certification support.</w:t>
      </w:r>
    </w:p>
    <w:p>
      <w:pPr>
        <w:pStyle w:val="ListParagraph"/>
        <w:numPr>
          <w:ilvl w:val="0"/>
          <w:numId w:val="2"/>
        </w:numPr>
      </w:pPr>
      <w:r>
        <w:t xml:space="preserve">African data-protection and financial-sector compliance programs spanning Nigeria's NDPA and CBN cybersecurity frameworks, South Africa's POPIA, and Kenya's Data Protection Act.</w:t>
      </w:r>
    </w:p>
    <w:p>
      <w:pPr>
        <w:pStyle w:val="ListParagraph"/>
        <w:numPr>
          <w:ilvl w:val="0"/>
          <w:numId w:val="2"/>
        </w:numPr>
      </w:pPr>
      <w:r>
        <w:t xml:space="preserve">Vendor and third-party risk management programs, including Open Banking (PSD2/PSD3 and regional equivalents) API conformance assessments.</w:t>
      </w:r>
    </w:p>
    <w:p>
      <w:pPr>
        <w:pStyle w:val="Heading2"/>
      </w:pPr>
      <w:r>
        <w:t xml:space="preserve">2.6 Continuous Threat Monitoring (vSOC)</w:t>
      </w:r>
    </w:p>
    <w:p>
      <w:r>
        <w:t xml:space="preserve">A virtual security operations capability purpose-built for transaction-layer visibility, not generic log aggregation.</w:t>
      </w:r>
    </w:p>
    <w:p>
      <w:pPr>
        <w:pStyle w:val="ListParagraph"/>
        <w:numPr>
          <w:ilvl w:val="0"/>
          <w:numId w:val="2"/>
        </w:numPr>
      </w:pPr>
      <w:r>
        <w:t xml:space="preserve">24/7 API traffic monitoring with anomaly detection tuned to payment and transaction-volume baselines.</w:t>
      </w:r>
    </w:p>
    <w:p>
      <w:pPr>
        <w:pStyle w:val="ListParagraph"/>
        <w:numPr>
          <w:ilvl w:val="0"/>
          <w:numId w:val="2"/>
        </w:numPr>
      </w:pPr>
      <w:r>
        <w:t xml:space="preserve">Bot mitigation and credential-stuffing defense for payment gateways and login / onboarding flows.</w:t>
      </w:r>
    </w:p>
    <w:p>
      <w:pPr>
        <w:pStyle w:val="ListParagraph"/>
        <w:numPr>
          <w:ilvl w:val="0"/>
          <w:numId w:val="2"/>
        </w:numPr>
      </w:pPr>
      <w:r>
        <w:t xml:space="preserve">Real-time fraud transaction pattern detection using behavioral and graph-based anomaly models.</w:t>
      </w:r>
    </w:p>
    <w:p>
      <w:pPr>
        <w:pStyle w:val="ListParagraph"/>
        <w:numPr>
          <w:ilvl w:val="0"/>
          <w:numId w:val="2"/>
        </w:numPr>
      </w:pPr>
      <w:r>
        <w:t xml:space="preserve">Cloud workload threat detection (CWPP) across containerized and serverless fintech infrastructure.</w:t>
      </w:r>
    </w:p>
    <w:p>
      <w:pPr>
        <w:pStyle w:val="ListParagraph"/>
        <w:numPr>
          <w:ilvl w:val="0"/>
          <w:numId w:val="2"/>
        </w:numPr>
      </w:pPr>
      <w:r>
        <w:t xml:space="preserve">Incident response retainer with SLAs aligned to regulatory breach-notification windows.</w:t>
      </w:r>
    </w:p>
    <w:p>
      <w:pPr>
        <w:pStyle w:val="ListParagraph"/>
        <w:numPr>
          <w:ilvl w:val="0"/>
          <w:numId w:val="2"/>
        </w:numPr>
      </w:pPr>
      <w:r>
        <w:t xml:space="preserve">Quarterly threat-intelligence briefings tailored to the client's regulatory jurisdiction and threat-actor landscape.</w:t>
      </w:r>
    </w:p>
    <w:p>
      <w:pPr>
        <w:pStyle w:val="Heading2"/>
      </w:pPr>
      <w:r>
        <w:t xml:space="preserve">2.7 Physical Security Equipment — Sales, Installation &amp; Managed Services</w:t>
      </w:r>
    </w:p>
    <w:p>
      <w:r>
        <w:t xml:space="preserve">Many of the firm's banking, neo-bank, and government clients operate physical infrastructure — branches, data centers, ATM networks, and payment processing facilities — that is just as much a target as their codebases. Codeward Security extends its developer-first philosophy to the physical layer, treating cameras, access controllers, and alarm panels as networked, embedded-software-running endpoints, not just hardware.</w:t>
      </w:r>
    </w:p>
    <w:p>
      <w:pPr>
        <w:pStyle w:val="ListParagraph"/>
        <w:numPr>
          <w:ilvl w:val="0"/>
          <w:numId w:val="2"/>
        </w:numPr>
      </w:pPr>
      <w:r>
        <w:t xml:space="preserve">Security equipment sales: vendor-neutral sourcing and procurement of enterprise-grade IP video surveillance, access control, intrusion detection, and perimeter security systems from leading manufacturers such as Axis Communications, HID Global, Genetec, and Bosch Security Systems.</w:t>
      </w:r>
    </w:p>
    <w:p>
      <w:pPr>
        <w:pStyle w:val="ListParagraph"/>
        <w:numPr>
          <w:ilvl w:val="0"/>
          <w:numId w:val="2"/>
        </w:numPr>
      </w:pPr>
      <w:r>
        <w:t xml:space="preserve">Professional installation and integration for bank branches, data centers, ATM sites, and payment processing facilities, integrated with existing building management and IT/OT network segmentation.</w:t>
      </w:r>
    </w:p>
    <w:p>
      <w:pPr>
        <w:pStyle w:val="ListParagraph"/>
        <w:numPr>
          <w:ilvl w:val="0"/>
          <w:numId w:val="2"/>
        </w:numPr>
      </w:pPr>
      <w:r>
        <w:t xml:space="preserve">Biometric and multi-factor physical access control design and deployment for server rooms, vaults, and other restricted areas, aligned to the least-privilege principles used in the firm's IAM practice.</w:t>
      </w:r>
    </w:p>
    <w:p>
      <w:pPr>
        <w:pStyle w:val="ListParagraph"/>
        <w:numPr>
          <w:ilvl w:val="0"/>
          <w:numId w:val="2"/>
        </w:numPr>
      </w:pPr>
      <w:r>
        <w:t xml:space="preserve">Managed maintenance and firmware security: ongoing patching, credential rotation, and firmware-vulnerability management for physical security devices, closing a frequently overlooked gap where IP cameras and access controllers ship with default credentials and unpatched firmware.</w:t>
      </w:r>
    </w:p>
    <w:p>
      <w:pPr>
        <w:pStyle w:val="ListParagraph"/>
        <w:numPr>
          <w:ilvl w:val="0"/>
          <w:numId w:val="2"/>
        </w:numPr>
      </w:pPr>
      <w:r>
        <w:t xml:space="preserve">Physical-cyber convergence design: unified branch and data-center security architecture pairing physical access control with network segmentation and monitoring, reviewed by the same engineers who perform the firm's AppSec work.</w:t>
      </w:r>
    </w:p>
    <w:p>
      <w:pPr>
        <w:pStyle w:val="ListParagraph"/>
        <w:numPr>
          <w:ilvl w:val="0"/>
          <w:numId w:val="2"/>
        </w:numPr>
      </w:pPr>
      <w:r>
        <w:t xml:space="preserve">24/7 alarm monitoring and incident dispatch coordination, integrated with the firm's vSOC for a single, correlated view of physical and digital threat activity.</w:t>
      </w:r>
    </w:p>
    <w:p>
      <w:r>
        <w:br w:type="page"/>
      </w:r>
    </w:p>
    <w:p>
      <w:pPr>
        <w:pStyle w:val="Heading1"/>
      </w:pPr>
      <w:r>
        <w:t xml:space="preserve">3. Architecture &amp; Target Client Adaptation</w:t>
      </w:r>
    </w:p>
    <w:p>
      <w:r>
        <w:t xml:space="preserve">A single service catalog cannot serve a twelve-person neo-bank and a century-old commercial bank identically. Engagement architecture, pacing, and compliance emphasis adapt to each target segment as detailed below; this client-type framework applies across all operating regions — North America, Europe, and Africa — with regional regulatory detail covered in Section 4.</w:t>
      </w:r>
    </w:p>
    <w:p>
      <w:pPr>
        <w:pStyle w:val="Heading2"/>
      </w:pPr>
      <w:r>
        <w:t xml:space="preserve">3.1 Fintech Startups &amp; Neo-Banks</w:t>
      </w:r>
    </w:p>
    <w:p>
      <w:r>
        <w:t xml:space="preserve">Speed-to-market is existential; security must accelerate, not gate, release cadence.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High-velocity DevSecOps deployment: </w:t>
      </w:r>
      <w:r>
        <w:t xml:space="preserve">security tooling embedded into existing CI/CD within two to four weeks, not quarters.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Rapid compliance sprints: </w:t>
      </w:r>
      <w:r>
        <w:t xml:space="preserve">PCI-DSS and SOC 2 Type I readiness designed around fundraising and banking-partner due-diligence timelines.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Scalable API protection: </w:t>
      </w:r>
      <w:r>
        <w:t xml:space="preserve">architecture built for unpredictable growth curves, from MVP traffic to post-Series-B scale.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Fractional CISO-as-a-Service: </w:t>
      </w:r>
      <w:r>
        <w:t xml:space="preserve">executive-level security guidance for teams not yet ready to hire a full-time security executive.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Engineering-embedded model: </w:t>
      </w:r>
      <w:r>
        <w:t xml:space="preserve">security engineers pair directly with feature teams rather than operating as a separate, blocking function.</w:t>
      </w:r>
    </w:p>
    <w:p>
      <w:pPr>
        <w:pStyle w:val="Heading2"/>
      </w:pPr>
      <w:r>
        <w:t xml:space="preserve">3.2 Legacy Commercial Banks</w:t>
      </w:r>
    </w:p>
    <w:p>
      <w:r>
        <w:t xml:space="preserve">The challenge shifts from greenfield speed to safely modernizing decades of accumulated technical and security debt.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Legacy codebase modernization audits: </w:t>
      </w:r>
      <w:r>
        <w:t xml:space="preserve">risk-prioritized remediation roadmaps for core banking interfaces and monolith decomposition initiatives.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Third-party &amp; Open Banking API security: </w:t>
      </w:r>
      <w:r>
        <w:t xml:space="preserve">PSD2/Open Banking conformance testing and vendor attack-surface mapping.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Cloud migration security architecture: </w:t>
      </w:r>
      <w:r>
        <w:t xml:space="preserve">parallel-run validation for lift-and-shift and re-platforming initiatives that avoids service disruption.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Governance-aware engagement: </w:t>
      </w:r>
      <w:r>
        <w:t xml:space="preserve">delivery model respects existing release governance, audit committees, and regulator relationships.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Long-horizon partnerships: </w:t>
      </w:r>
      <w:r>
        <w:t xml:space="preserve">twelve-to-thirty-six-month managed security roadmaps rather than point-in-time assessments.</w:t>
      </w:r>
    </w:p>
    <w:p>
      <w:pPr>
        <w:pStyle w:val="Heading2"/>
      </w:pPr>
      <w:r>
        <w:t xml:space="preserve">3.3 Government / Financial Regulators</w:t>
      </w:r>
    </w:p>
    <w:p>
      <w:r>
        <w:t xml:space="preserve">National-scale infrastructure demands sovereignty-aware architecture and the highest tier of assurance and reporting rigor.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Payment gateway architecture: </w:t>
      </w:r>
      <w:r>
        <w:t xml:space="preserve">security design for national payment gateways and real-time gross settlement (RTGS) systems.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CBDC architecture review: </w:t>
      </w:r>
      <w:r>
        <w:t xml:space="preserve">ledger design, custody models, and resilience validation against state-level threat actors.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Audit-grade compliance reporting: </w:t>
      </w:r>
      <w:r>
        <w:t xml:space="preserve">alignment to national cybersecurity frameworks and cross-border data-sovereignty requirements.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Cleared-personnel delivery: </w:t>
      </w:r>
      <w:r>
        <w:t xml:space="preserve">on-premises and air-gapped engagement options where mandated.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Resilience testing: </w:t>
      </w:r>
      <w:r>
        <w:t xml:space="preserve">continuity-of-operations exercises aligned to DORA-equivalent national resilience mandates.</w:t>
      </w:r>
    </w:p>
    <w:p>
      <w:pPr>
        <w:pStyle w:val="Heading2"/>
      </w:pPr>
      <w:r>
        <w:t xml:space="preserve">3.4 Segment Comparison Snapshot</w:t>
      </w:r>
    </w:p>
    <w:tbl>
      <w:tblPr>
        <w:tblW w:type="dxa" w:w="9360"/>
        <w:tblBorders>
          <w:top w:val="single" w:color="D4D4D4" w:sz="2"/>
          <w:left w:val="single" w:color="D4D4D4" w:sz="2"/>
          <w:bottom w:val="single" w:color="D4D4D4" w:sz="2"/>
          <w:right w:val="single" w:color="D4D4D4" w:sz="2"/>
          <w:insideH w:val="single" w:color="D4D4D4" w:sz="2"/>
          <w:insideV w:val="single" w:color="D4D4D4" w:sz="2"/>
        </w:tblBorders>
      </w:tblPr>
      <w:tblGrid>
        <w:gridCol w:w="2300"/>
        <w:gridCol w:w="2300"/>
        <w:gridCol w:w="2160"/>
        <w:gridCol w:w="2600"/>
      </w:tblGrid>
      <w:tr>
        <w:trPr>
          <w:tblHeader/>
        </w:trPr>
        <w:tc>
          <w:tcPr>
            <w:tcW w:type="dxa" w:w="230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30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Driver</w:t>
            </w:r>
          </w:p>
        </w:tc>
        <w:tc>
          <w:tcPr>
            <w:tcW w:type="dxa" w:w="216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Engagement</w:t>
            </w:r>
          </w:p>
        </w:tc>
        <w:tc>
          <w:tcPr>
            <w:tcW w:type="dxa" w:w="260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Compliance Focus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Fintech Startups &amp; Neo-Banks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Speed-to-market</w:t>
            </w:r>
          </w:p>
        </w:tc>
        <w:tc>
          <w:tcPr>
            <w:tcW w:type="dxa" w:w="2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4–12 week sprints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PCI-DSS, SOC 2 Type I/II</w:t>
            </w:r>
          </w:p>
        </w:tc>
      </w:tr>
      <w:tr>
        <w:tc>
          <w:tcPr>
            <w:tcW w:type="dxa" w:w="23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Legacy Commercial Banks</w:t>
            </w:r>
          </w:p>
        </w:tc>
        <w:tc>
          <w:tcPr>
            <w:tcW w:type="dxa" w:w="23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Modernization &amp; integration risk</w:t>
            </w:r>
          </w:p>
        </w:tc>
        <w:tc>
          <w:tcPr>
            <w:tcW w:type="dxa" w:w="216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12–36 months</w:t>
            </w:r>
          </w:p>
        </w:tc>
        <w:tc>
          <w:tcPr>
            <w:tcW w:type="dxa" w:w="26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PCI-DSS, SOC 2, GLBA, Open Banking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Government / Regulators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Sovereignty &amp; resilience</w:t>
            </w:r>
          </w:p>
        </w:tc>
        <w:tc>
          <w:tcPr>
            <w:tcW w:type="dxa" w:w="2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12+ months, retained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DORA-equivalent, national frameworks, CBDC standards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Global Market Expansion: Europe &amp; Africa</w:t>
      </w:r>
    </w:p>
    <w:p>
      <w:r>
        <w:t xml:space="preserve">While initial go-to-market is North America-anchored, Codeward Security's addressable market is global from inception. Two regions carry outsized strategic weight: Europe, home to the world's most mature binding financial-cyber regulation, and Africa, home to some of the fastest-growing, mobile-first fintech ecosystems on the planet. Each requires its own regulatory fluency, threat model, and entry motion rather than a copy-pasted domestic playbook.</w:t>
      </w:r>
    </w:p>
    <w:p>
      <w:pPr>
        <w:pStyle w:val="Heading2"/>
      </w:pPr>
      <w:r>
        <w:t xml:space="preserve">4.1 Europe: Regulatory Depth as the Entry Wedge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DORA (Digital Operational Resilience Act): </w:t>
      </w:r>
      <w:r>
        <w:t xml:space="preserve">binding on EU financial entities since 17 January 2025, with active supervisory enforcement underway through 2026, including mandatory Registers of Information on ICT third-party providers and Threat-Led Penetration Testing (TLPT) for significant entities. Because Codeward Security would itself qualify as an ICT third-party provider to in-scope clients, the firm's own controls must be DORA-ready before selling into the EU financial sector.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NIS2 Directive: </w:t>
      </w:r>
      <w:r>
        <w:t xml:space="preserve">transposed into national law across EU member states, with a compliance deadline of October 2026 for in-scope critical and important entities; several national regulators have layered earlier self-assessment milestones ahead of that date.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GDPR: </w:t>
      </w:r>
      <w:r>
        <w:t xml:space="preserve">the baseline data-protection regime underpinning every secure-code review and architecture engagement involving EU personal data — privacy-by-design review is a standing AppSec deliverable, not a separate workstream.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PSD2, evolving toward PSD3/PSR: </w:t>
      </w:r>
      <w:r>
        <w:t xml:space="preserve">strengthens Strong Customer Authentication (SCA) and Open Banking API requirements, directly shaping API security testing scope for European payment institutions.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eIDAS 2.0 / EU Digital Identity Wallet: </w:t>
      </w:r>
      <w:r>
        <w:t xml:space="preserve">introduces new identity-verification and authentication flows that fintech and banking clients will need threat-modeled ahead of national rollout.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Entry hubs: </w:t>
      </w:r>
      <w:r>
        <w:t xml:space="preserve">Ireland, Lithuania, the Netherlands, and Germany as EU fintech-licensing and engineering centers, with the UK (FCA-regulated, outside the EU post-Brexit) as a complementary common-law market.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Go-to-market motion: </w:t>
      </w:r>
      <w:r>
        <w:t xml:space="preserve">establish or partner for an EU-based legal entity to support data residency and DORA subcontracting requirements, and pursue participation in regional Open Banking and fintech-accelerator ecosystems.</w:t>
      </w:r>
    </w:p>
    <w:p>
      <w:pPr>
        <w:pStyle w:val="Heading2"/>
      </w:pPr>
      <w:r>
        <w:t xml:space="preserve">4.2 Africa: Mobile-First Finance, Fragmented Regulation</w:t>
      </w:r>
    </w:p>
    <w:p>
      <w:r>
        <w:t xml:space="preserve">Africa's financial-inclusion story is mobile-money-led rather than card-led, which shifts both the regulatory map and the technical threat surface relative to Europe or North America.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Nigeria: </w:t>
      </w:r>
      <w:r>
        <w:t xml:space="preserve">the Nigeria Data Protection Act (NDPA) 2023, enforced by the Nigeria Data Protection Commission (NDPC), sets data-minimization, encryption, and 72-hour breach-notification requirements; the Central Bank of Nigeria's risk-based Cybersecurity Framework and Guidelines for Deposit Money Banks and Payment Service Banks (2024) governs bank- and PSP-grade controls, alongside an active Open Banking regulatory framework.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South Africa: </w:t>
      </w:r>
      <w:r>
        <w:t xml:space="preserve">the Protection of Personal Information Act (POPIA), fully enforceable since July 2021 and overseen by the Information Regulator, sets the data-protection baseline, with administrative fines of up to ZAR 10 million for non-compliance.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Kenya: </w:t>
      </w:r>
      <w:r>
        <w:t xml:space="preserve">the Data Protection Act, 2019, enforced by the Office of the Data Protection Commissioner (ODPC), requires registration, a designated Data Protection Officer, and Data Protection Impact Assessments for high-risk processing, covering most fintech and digital-lending platforms.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Regulatory fragmentation: </w:t>
      </w:r>
      <w:r>
        <w:t xml:space="preserve">no pan-African “GDPR equivalent” exists; each of the continent's 54 jurisdictions requires its own compliance posture, so the firm's GRC practice must be modular and jurisdiction-aware rather than templated.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Mobile-money and USSD-channel security: </w:t>
      </w:r>
      <w:r>
        <w:t xml:space="preserve">distinct threat classes versus card-based fintech, including SIM-swap account takeover, USSD session hijacking, and agent-network social engineering, requiring dedicated red-team playbooks.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Agent-banking network fraud monitoring: </w:t>
      </w:r>
      <w:r>
        <w:t xml:space="preserve">extending vSOC capability beyond app and API traffic to the human agent layer that much of African financial inclusion runs through.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Low-bandwidth, offline-first architecture review: </w:t>
      </w:r>
      <w:r>
        <w:t xml:space="preserve">security tooling and vSOC dashboards engineered to function under intermittent-connectivity conditions common outside major metro areas.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GSMA Mobile Money Certification readiness: </w:t>
      </w:r>
      <w:r>
        <w:t xml:space="preserve">supporting mobile money operators preparing for the industry's recognized security and consumer-protection certification.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Entry hubs: </w:t>
      </w:r>
      <w:r>
        <w:t xml:space="preserve">Lagos, Nairobi, Cairo, and Cape Town/Johannesburg as the continent's primary fintech funding and engineering talent centers.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Go-to-market motion: </w:t>
      </w:r>
      <w:r>
        <w:t xml:space="preserve">partner-led entry through regional mobile network operators, payment switches, and development-finance-backed fintech accelerators, rather than a direct-sales-only model, to compress the trust-building cycle in unfamiliar markets.</w:t>
      </w:r>
    </w:p>
    <w:p>
      <w:pPr>
        <w:pStyle w:val="Heading2"/>
      </w:pPr>
      <w:r>
        <w:t xml:space="preserve">4.3 Regional Regulatory &amp; Market Snapshot</w:t>
      </w:r>
    </w:p>
    <w:tbl>
      <w:tblPr>
        <w:tblW w:type="dxa" w:w="9360"/>
        <w:tblBorders>
          <w:top w:val="single" w:color="D4D4D4" w:sz="2"/>
          <w:left w:val="single" w:color="D4D4D4" w:sz="2"/>
          <w:bottom w:val="single" w:color="D4D4D4" w:sz="2"/>
          <w:right w:val="single" w:color="D4D4D4" w:sz="2"/>
          <w:insideH w:val="single" w:color="D4D4D4" w:sz="2"/>
          <w:insideV w:val="single" w:color="D4D4D4" w:sz="2"/>
        </w:tblBorders>
      </w:tblPr>
      <w:tblGrid>
        <w:gridCol w:w="1860"/>
        <w:gridCol w:w="2700"/>
        <w:gridCol w:w="2700"/>
        <w:gridCol w:w="2100"/>
      </w:tblGrid>
      <w:tr>
        <w:trPr>
          <w:tblHeader/>
        </w:trPr>
        <w:tc>
          <w:tcPr>
            <w:tcW w:type="dxa" w:w="186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70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Anchor Regulations</w:t>
            </w:r>
          </w:p>
        </w:tc>
        <w:tc>
          <w:tcPr>
            <w:tcW w:type="dxa" w:w="270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Distinct Threat Surface</w:t>
            </w:r>
          </w:p>
        </w:tc>
        <w:tc>
          <w:tcPr>
            <w:tcW w:type="dxa" w:w="210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Entry Hubs</w:t>
            </w:r>
          </w:p>
        </w:tc>
      </w:tr>
      <w:tr>
        <w:tc>
          <w:tcPr>
            <w:tcW w:type="dxa" w:w="18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European Union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DORA, NIS2, GDPR, PSD2/PSD3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ICT third-party oversight, TLPT, strong customer authentication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Dublin, Vilnius, Amsterdam, Berlin</w:t>
            </w:r>
          </w:p>
        </w:tc>
      </w:tr>
      <w:tr>
        <w:tc>
          <w:tcPr>
            <w:tcW w:type="dxa" w:w="186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27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FCA rules, UK GDPR</w:t>
            </w:r>
          </w:p>
        </w:tc>
        <w:tc>
          <w:tcPr>
            <w:tcW w:type="dxa" w:w="27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Open Banking (UK variant), operational resilience rules</w:t>
            </w:r>
          </w:p>
        </w:tc>
        <w:tc>
          <w:tcPr>
            <w:tcW w:type="dxa" w:w="21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London</w:t>
            </w:r>
          </w:p>
        </w:tc>
      </w:tr>
      <w:tr>
        <w:tc>
          <w:tcPr>
            <w:tcW w:type="dxa" w:w="18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Nigeria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NDPA 2023, CBN Cybersecurity Framework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USSD / agent fraud, mobile money interoperability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Lagos</w:t>
            </w:r>
          </w:p>
        </w:tc>
      </w:tr>
      <w:tr>
        <w:tc>
          <w:tcPr>
            <w:tcW w:type="dxa" w:w="186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South Africa</w:t>
            </w:r>
          </w:p>
        </w:tc>
        <w:tc>
          <w:tcPr>
            <w:tcW w:type="dxa" w:w="27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POPIA</w:t>
            </w:r>
          </w:p>
        </w:tc>
        <w:tc>
          <w:tcPr>
            <w:tcW w:type="dxa" w:w="27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Card-present + digital banking hybrid fraud</w:t>
            </w:r>
          </w:p>
        </w:tc>
        <w:tc>
          <w:tcPr>
            <w:tcW w:type="dxa" w:w="21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Cape Town, Johannesburg</w:t>
            </w:r>
          </w:p>
        </w:tc>
      </w:tr>
      <w:tr>
        <w:tc>
          <w:tcPr>
            <w:tcW w:type="dxa" w:w="18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Kenya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Data Protection Act, 2019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Mobile-money-ecosystem security (e.g., M-PESA-style platforms)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Nairobi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Competitive Landscape &amp; Market Positioning</w:t>
      </w:r>
    </w:p>
    <w:p>
      <w:pPr>
        <w:pStyle w:val="Heading2"/>
      </w:pPr>
      <w:r>
        <w:t xml:space="preserve">5.1 Incumbent Landscape</w:t>
      </w:r>
    </w:p>
    <w:p>
      <w:r>
        <w:t xml:space="preserve">No single competitor currently combines all three of the firm's core motions — engineer-embedded remediation, continuous pipeline integration, and regulated-finance specialization — under one roof. The table below benchmarks the primary incumbent categories the firm will be evaluated against in competitive sales cycles.</w:t>
      </w:r>
    </w:p>
    <w:tbl>
      <w:tblPr>
        <w:tblW w:type="dxa" w:w="9360"/>
        <w:tblBorders>
          <w:top w:val="single" w:color="D4D4D4" w:sz="2"/>
          <w:left w:val="single" w:color="D4D4D4" w:sz="2"/>
          <w:bottom w:val="single" w:color="D4D4D4" w:sz="2"/>
          <w:right w:val="single" w:color="D4D4D4" w:sz="2"/>
          <w:insideH w:val="single" w:color="D4D4D4" w:sz="2"/>
          <w:insideV w:val="single" w:color="D4D4D4" w:sz="2"/>
        </w:tblBorders>
      </w:tblPr>
      <w:tblGrid>
        <w:gridCol w:w="2200"/>
        <w:gridCol w:w="2360"/>
        <w:gridCol w:w="2300"/>
        <w:gridCol w:w="25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6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Representative Players</w:t>
            </w:r>
          </w:p>
        </w:tc>
        <w:tc>
          <w:tcPr>
            <w:tcW w:type="dxa" w:w="230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Delivery Model</w:t>
            </w:r>
          </w:p>
        </w:tc>
        <w:tc>
          <w:tcPr>
            <w:tcW w:type="dxa" w:w="250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Codeward Security's Differentiation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Enterprise AppSec / DevSecOps Platforms</w:t>
            </w:r>
          </w:p>
        </w:tc>
        <w:tc>
          <w:tcPr>
            <w:tcW w:type="dxa" w:w="2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Snyk, Veracode, Black Duck Software, Checkmarx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Self-serve SaaS tooling, with professional services layered on top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Boutique, engineer-embedded remediation delivered inside the client's own pull requests, not a dashboard alert</w:t>
            </w:r>
          </w:p>
        </w:tc>
      </w:tr>
      <w:tr>
        <w:tc>
          <w:tcPr>
            <w:tcW w:type="dxa" w:w="22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Offensive Security &amp; Pentesting Firms</w:t>
            </w:r>
          </w:p>
        </w:tc>
        <w:tc>
          <w:tcPr>
            <w:tcW w:type="dxa" w:w="236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NCC Group, Bishop Fox, Kroll, Mandiant (Google Cloud Security)</w:t>
            </w:r>
          </w:p>
        </w:tc>
        <w:tc>
          <w:tcPr>
            <w:tcW w:type="dxa" w:w="23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Point-in-time assessments across broad enterprise scope</w:t>
            </w:r>
          </w:p>
        </w:tc>
        <w:tc>
          <w:tcPr>
            <w:tcW w:type="dxa" w:w="25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Continuous, pipeline-integrated engagement narrowly specialized in financial transaction systems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Big 4 / Global GRC Consultancies</w:t>
            </w:r>
          </w:p>
        </w:tc>
        <w:tc>
          <w:tcPr>
            <w:tcW w:type="dxa" w:w="2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Deloitte, PwC, EY, KPMG cyber practices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Compliance- and audit-led, large generalist advisory teams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Compliance treated as a byproduct of secure code, delivered by practitioners who ship production software</w:t>
            </w:r>
          </w:p>
        </w:tc>
      </w:tr>
      <w:tr>
        <w:tc>
          <w:tcPr>
            <w:tcW w:type="dxa" w:w="22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DeFi / Smart Contract Auditors</w:t>
            </w:r>
          </w:p>
        </w:tc>
        <w:tc>
          <w:tcPr>
            <w:tcW w:type="dxa" w:w="236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CertiK, Trail of Bits, OpenZeppelin, Sherlock</w:t>
            </w:r>
          </w:p>
        </w:tc>
        <w:tc>
          <w:tcPr>
            <w:tcW w:type="dxa" w:w="23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Specialized, blockchain-only audit and contest-based models</w:t>
            </w:r>
          </w:p>
        </w:tc>
        <w:tc>
          <w:tcPr>
            <w:tcW w:type="dxa" w:w="25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Smart-contract assurance combined with full-stack fintech AppSec, GRC, and vSOC under one engagement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Global MSSP / Threat Intelligence</w:t>
            </w:r>
          </w:p>
        </w:tc>
        <w:tc>
          <w:tcPr>
            <w:tcW w:type="dxa" w:w="2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CrowdStrike, Palo Alto Networks (Unit 42), IBM Security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Endpoint- and network-centric monitoring at horizontal scale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Transaction- and API-native monitoring purpose-built for payment and ledger systems</w:t>
            </w:r>
          </w:p>
        </w:tc>
      </w:tr>
      <w:tr>
        <w:tc>
          <w:tcPr>
            <w:tcW w:type="dxa" w:w="22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Physical Security Integrators</w:t>
            </w:r>
          </w:p>
        </w:tc>
        <w:tc>
          <w:tcPr>
            <w:tcW w:type="dxa" w:w="236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Allied Universal, Convergint, Johnson Controls, ADT Commercial</w:t>
            </w:r>
          </w:p>
        </w:tc>
        <w:tc>
          <w:tcPr>
            <w:tcW w:type="dxa" w:w="23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Hardware-centric installation and monitoring, limited software or firmware security expertise</w:t>
            </w:r>
          </w:p>
        </w:tc>
        <w:tc>
          <w:tcPr>
            <w:tcW w:type="dxa" w:w="25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Converges equipment sales and installation with firmware-level and AppSec rigor under one vendor</w:t>
            </w:r>
          </w:p>
        </w:tc>
      </w:tr>
    </w:tbl>
    <w:p>
      <w:pPr>
        <w:pStyle w:val="Heading2"/>
      </w:pPr>
      <w:r>
        <w:t xml:space="preserve">5.2 Whitespace &amp; Differentiation</w:t>
      </w:r>
    </w:p>
    <w:p>
      <w:r>
        <w:t xml:space="preserve">Tooling vendors sell software that still requires a client's own engineers to triage and fix findings; offensive-security firms and Big 4 consultancies sell expertise but typically disengage between point-in-time assessments; blockchain-only auditors are deep but narrow; physical security integrators install hardware without securing its firmware. Codeward Security occupies the white space at the intersection of all of these: a single, financially-specialized partner that ships fixes, not just findings, and stays embedded in the engineering workflow — digital and physical — between audits rather than reappearing once a year.</w:t>
      </w:r>
    </w:p>
    <w:p>
      <w:pPr>
        <w:pStyle w:val="Heading2"/>
      </w:pPr>
      <w:r>
        <w:t xml:space="preserve">5.3 Competitive Moat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Vertical depth over horizontal breadth: </w:t>
      </w:r>
      <w:r>
        <w:t xml:space="preserve">specialization in regulated finance avoids the “mile-wide, inch-deep” coverage trap of horizontal MSSPs and generalist consultancies.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Engineering-embedded delivery: </w:t>
      </w:r>
      <w:r>
        <w:t xml:space="preserve">a model that creates switching costs SaaS-only platforms and audit-only firms structurally cannot replicate, because it requires hiring engineers who code, not just analysts who report.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Open-source-led inbound: </w:t>
      </w:r>
      <w:r>
        <w:t xml:space="preserve">published tooling, rule packs, and CTFs build a developer-trust funnel that horizontal incumbents' enterprise sales motions are not optimized to capture.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Regional regulatory fluency: </w:t>
      </w:r>
      <w:r>
        <w:t xml:space="preserve">modular GRC playbooks spanning DORA/NIS2 in Europe and NDPA/POPIA/Kenya's Data Protection Act in Africa position the firm ahead of incumbents whose compliance practices remain North America- and EU-centric.</w:t>
      </w:r>
    </w:p>
    <w:p>
      <w:r>
        <w:br w:type="page"/>
      </w:r>
    </w:p>
    <w:p>
      <w:pPr>
        <w:pStyle w:val="Heading1"/>
      </w:pPr>
      <w:r>
        <w:t xml:space="preserve">6. Marketing, Go-to-Market (GTM), &amp; Tech Leadership</w:t>
      </w:r>
    </w:p>
    <w:p>
      <w:pPr>
        <w:pStyle w:val="Heading2"/>
      </w:pPr>
      <w:r>
        <w:t xml:space="preserve">6.1 B2B Sales Strategy</w:t>
      </w:r>
    </w:p>
    <w:p>
      <w:r>
        <w:t xml:space="preserve">Selling security to engineering leadership requires speaking in deployment velocity and risk-adjusted return, not fear-based compliance checklists.</w:t>
      </w:r>
    </w:p>
    <w:tbl>
      <w:tblPr>
        <w:tblW w:type="dxa" w:w="9360"/>
        <w:tblBorders>
          <w:top w:val="single" w:color="D4D4D4" w:sz="2"/>
          <w:left w:val="single" w:color="D4D4D4" w:sz="2"/>
          <w:bottom w:val="single" w:color="D4D4D4" w:sz="2"/>
          <w:right w:val="single" w:color="D4D4D4" w:sz="2"/>
          <w:insideH w:val="single" w:color="D4D4D4" w:sz="2"/>
          <w:insideV w:val="single" w:color="D4D4D4" w:sz="2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00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Concern</w:t>
            </w:r>
          </w:p>
        </w:tc>
        <w:tc>
          <w:tcPr>
            <w:tcW w:type="dxa" w:w="436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Messaging Angle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CTO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Shipping velocity, technical debt</w:t>
            </w:r>
          </w:p>
        </w:tc>
        <w:tc>
          <w:tcPr>
            <w:tcW w:type="dxa" w:w="4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“We reduce mean-time-to-remediate without adding pipeline friction.”</w:t>
            </w:r>
          </w:p>
        </w:tc>
      </w:tr>
      <w:tr>
        <w:tc>
          <w:tcPr>
            <w:tcW w:type="dxa" w:w="20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VP of Engineering</w:t>
            </w:r>
          </w:p>
        </w:tc>
        <w:tc>
          <w:tcPr>
            <w:tcW w:type="dxa" w:w="30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Developer experience, team throughput</w:t>
            </w:r>
          </w:p>
        </w:tc>
        <w:tc>
          <w:tcPr>
            <w:tcW w:type="dxa" w:w="436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“Security findings arrive as pull requests, not PDFs.”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CISO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Audit readiness, board risk reporting</w:t>
            </w:r>
          </w:p>
        </w:tc>
        <w:tc>
          <w:tcPr>
            <w:tcW w:type="dxa" w:w="4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“Continuous, evidence-backed compliance — not a once-a-year fire drill.”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Land-and-expand motion: </w:t>
      </w:r>
      <w:r>
        <w:t xml:space="preserve">begin with a scoped AppSec or DevSecOps pilot on a single repository or pipeline, then expand to platform-wide coverage.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Technical proof-of-value: </w:t>
      </w:r>
      <w:r>
        <w:t xml:space="preserve">a free or low-cost SAST/SCA scan of a public-facing API delivered with a working pull-request fix, demonstrating the “fix, not just find” philosophy in week one.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Account-based marketing: </w:t>
      </w:r>
      <w:r>
        <w:t xml:space="preserve">targeting Series A–C fintech engineering leadership and bank technology-transformation offices across all three operating regions.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Marketplace channel partnerships: </w:t>
      </w:r>
      <w:r>
        <w:t xml:space="preserve">AWS Marketplace and Azure Marketplace listings to shorten procurement cycles for regulated buyers.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Reference-customer flywheel: </w:t>
      </w:r>
      <w:r>
        <w:t xml:space="preserve">anonymized case studies quantifying MTTR reduction and audit-prep time saved, used in late-stage sales conversations.</w:t>
      </w:r>
    </w:p>
    <w:p>
      <w:pPr>
        <w:pStyle w:val="Heading2"/>
      </w:pPr>
      <w:r>
        <w:t xml:space="preserve">6.2 Thought Leadership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Open-source tooling: </w:t>
      </w:r>
      <w:r>
        <w:t xml:space="preserve">publish and maintain custom Semgrep rule packs for fintech transaction logic and a DeFi smart-contract static analyzer under the company GitHub organization.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Founder-led technical content: </w:t>
      </w:r>
      <w:r>
        <w:t xml:space="preserve">blog series translating real, anonymized remediation patterns into engineering-audience writing.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Developer security training: </w:t>
      </w:r>
      <w:r>
        <w:t xml:space="preserve">workshops delivered directly to client engineering teams, feeding internal security-champion programs.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Conference circuit: </w:t>
      </w:r>
      <w:r>
        <w:t xml:space="preserve">developer-first audiences including KubeCon, DEF CON AppSec Village, and fintech-specific events such as Money20/20 and Sibos, complemented by regional events in Europe and Africa.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Annual benchmark report: </w:t>
      </w:r>
      <w:r>
        <w:t xml:space="preserve">a “State of Fintech AppSec” report synthesizing anonymized findings across the client portfolio.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Capture-the-flag challenges: </w:t>
      </w:r>
      <w:r>
        <w:t xml:space="preserve">fintech-vulnerability-class CTFs used for both community engagement and technical recruiting.</w:t>
      </w:r>
    </w:p>
    <w:p>
      <w:r>
        <w:br w:type="page"/>
      </w:r>
    </w:p>
    <w:p>
      <w:pPr>
        <w:pStyle w:val="Heading1"/>
      </w:pPr>
      <w:r>
        <w:t xml:space="preserve">7. Operational Tech Stack &amp; Architect Profile</w:t>
      </w:r>
    </w:p>
    <w:p>
      <w:pPr>
        <w:pStyle w:val="Heading2"/>
      </w:pPr>
      <w:r>
        <w:t xml:space="preserve">7.1 Engineering-First Security Tech Stack</w:t>
      </w:r>
    </w:p>
    <w:p>
      <w:r>
        <w:t xml:space="preserve">Tooling selection favors developer-native, pipeline-integrable platforms over portal-centric, report-only tools.</w:t>
      </w:r>
    </w:p>
    <w:tbl>
      <w:tblPr>
        <w:tblW w:type="dxa" w:w="9360"/>
        <w:tblBorders>
          <w:top w:val="single" w:color="D4D4D4" w:sz="2"/>
          <w:left w:val="single" w:color="D4D4D4" w:sz="2"/>
          <w:bottom w:val="single" w:color="D4D4D4" w:sz="2"/>
          <w:right w:val="single" w:color="D4D4D4" w:sz="2"/>
          <w:insideH w:val="single" w:color="D4D4D4" w:sz="2"/>
          <w:insideV w:val="single" w:color="D4D4D4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Representative Tools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Static &amp; Code Analysis (SAST)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Semgrep, SonarQube, Checkmarx, CodeQL</w:t>
            </w:r>
          </w:p>
        </w:tc>
      </w:tr>
      <w:tr>
        <w:tc>
          <w:tcPr>
            <w:tcW w:type="dxa" w:w="30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Software Composition Analysis (SCA)</w:t>
            </w:r>
          </w:p>
        </w:tc>
        <w:tc>
          <w:tcPr>
            <w:tcW w:type="dxa" w:w="636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Snyk, Black Duck Software, OWASP Dependency-Track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Dynamic &amp; API Testing (DAST)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Burp Suite Enterprise, OWASP ZAP, Postman/Newman security suites</w:t>
            </w:r>
          </w:p>
        </w:tc>
      </w:tr>
      <w:tr>
        <w:tc>
          <w:tcPr>
            <w:tcW w:type="dxa" w:w="30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Cloud-Native &amp; Container Security</w:t>
            </w:r>
          </w:p>
        </w:tc>
        <w:tc>
          <w:tcPr>
            <w:tcW w:type="dxa" w:w="636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Aqua Security, Wiz, Trivy, Kubescape, Falco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Secrets &amp; Supply Chain Integrity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HashiCorp Vault, GitGuardian, Sigstore/Cosign, in-toto</w:t>
            </w:r>
          </w:p>
        </w:tc>
      </w:tr>
      <w:tr>
        <w:tc>
          <w:tcPr>
            <w:tcW w:type="dxa" w:w="30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Infrastructure-as-Code Scanning</w:t>
            </w:r>
          </w:p>
        </w:tc>
        <w:tc>
          <w:tcPr>
            <w:tcW w:type="dxa" w:w="636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Checkov, tfsec, Terrascan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GRC &amp; Compliance Automation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Vanta, Drata, OneTrust</w:t>
            </w:r>
          </w:p>
        </w:tc>
      </w:tr>
      <w:tr>
        <w:tc>
          <w:tcPr>
            <w:tcW w:type="dxa" w:w="30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Continuous Monitoring / vSOC</w:t>
            </w:r>
          </w:p>
        </w:tc>
        <w:tc>
          <w:tcPr>
            <w:tcW w:type="dxa" w:w="636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Datadog Security Monitoring, Wazuh, Elastic Security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Smart Contract Auditing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Slither, MythX, Foundry-based fuzzing harnesses</w:t>
            </w:r>
          </w:p>
        </w:tc>
      </w:tr>
      <w:tr>
        <w:tc>
          <w:tcPr>
            <w:tcW w:type="dxa" w:w="300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Physical Security &amp; IoT Hardware</w:t>
            </w:r>
          </w:p>
        </w:tc>
        <w:tc>
          <w:tcPr>
            <w:tcW w:type="dxa" w:w="6360"/>
            <w:shd w:fill="E9E9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Axis Communications, HID Global, Genetec, Bosch Security Systems</w:t>
            </w:r>
          </w:p>
        </w:tc>
      </w:tr>
    </w:tbl>
    <w:p>
      <w:pPr>
        <w:pStyle w:val="Heading2"/>
      </w:pPr>
      <w:r>
        <w:t xml:space="preserve">7.2 Founder Profile &amp; Hybrid “Security Engineer” Hiring Model</w:t>
      </w:r>
    </w:p>
    <w:p>
      <w:r>
        <w:t xml:space="preserve">The founder's transition from veteran software engineer to security leader is the firm's central credibility asset — and its hiring blueprint.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Engineering-first hiring bar: </w:t>
      </w:r>
      <w:r>
        <w:t xml:space="preserve">prioritizes candidates who can read and write production-grade code in at least one backend language (Go, Python, Java, Rust) over audit-only or checklist-driven backgrounds.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Dual-track career ladder: </w:t>
      </w:r>
      <w:r>
        <w:t xml:space="preserve">every security engineer maintains active contribution rights to remediation pull requests, not just findings reports.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Quarterly build-week rotations: </w:t>
      </w:r>
      <w:r>
        <w:t xml:space="preserve">security engineers ship a real internal tool or open-source contribution each quarter to keep engineering muscle sharp.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Embedded pairing model: </w:t>
      </w:r>
      <w:r>
        <w:t xml:space="preserve">every client engagement assigns a security engineer to shadow the client's actual sprint cadence — standups, code review, retros — rather than operating as an external auditor.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Outcome-weighted compensation: </w:t>
      </w:r>
      <w:r>
        <w:t xml:space="preserve">promotion criteria weighted toward remediation throughput and developer-satisfaction scores, not raw vulnerability counts, to avoid incentivizing low-value findings.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Founder-led technical interviews: </w:t>
      </w:r>
      <w:r>
        <w:t xml:space="preserve">a live, paired secure-code-review exercise on a real, anonymized fintech vulnerability class ensures every hire embodies the “developers, for developers” thesis.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 xml:space="preserve">Regional hiring pods: </w:t>
      </w:r>
      <w:r>
        <w:t xml:space="preserve">senior engineers recruited from local talent hubs in each operating region — e.g., Dublin/Amsterdam for Europe and Lagos/Nairobi for Africa — to pair native regulatory fluency with the firm's engineering bar.</w:t>
      </w:r>
    </w:p>
    <w:p>
      <w:pPr>
        <w:pStyle w:val="Heading2"/>
      </w:pPr>
      <w:r>
        <w:t xml:space="preserve">7.3 Closing Note</w:t>
      </w:r>
    </w:p>
    <w:p>
      <w:r>
        <w:t xml:space="preserve">This blueprint is structured as a living strategic document. Each section is designed to be stress-tested against board feedback, refined through early customer discovery, and updated as the leadership roster and go-to-market motion are finalized.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 w:space="4"/>
      </w:pBdr>
      <w:tabs>
        <w:tab w:val="right" w:pos="9026"/>
      </w:tabs>
    </w:pPr>
    <w:r>
      <w:rPr>
        <w:color w:val="8C8C8C"/>
        <w:sz w:val="15"/>
        <w:szCs w:val="15"/>
      </w:rPr>
      <w:t xml:space="preserve">CONFIDENTIAL — Codeward Security</w:t>
    </w:r>
    <w:r>
      <w:rPr>
        <w:color w:val="8C8C8C"/>
        <w:sz w:val="15"/>
        <w:szCs w:val="15"/>
      </w:rPr>
      <w:t xml:space="preserve">	Page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192E" w:sz="6" w:space="4"/>
      </w:pBdr>
      <w:spacing w:after="80"/>
      <w:jc w:val="center"/>
    </w:pPr>
    <w:r>
      <w:rPr>
        <w:b/>
        <w:bCs/>
        <w:color w:val="8C8C8C"/>
        <w:sz w:val="15"/>
        <w:szCs w:val="15"/>
      </w:rPr>
      <w:t xml:space="preserve">CODEWARD SECURITY  —  ENTERPRISE CYBERSECURITY BUSINESS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spacing w:after="100"/>
        <w:ind w:left="720" w:hanging="360"/>
      </w:pPr>
      <w:rPr>
        <w:rFonts w:ascii="Arial" w:cs="Arial" w:eastAsia="Arial" w:hAnsi="Arial"/>
        <w:color w:val="A6192E"/>
      </w:rPr>
    </w:lvl>
    <w:lvl w:ilvl="1" w15:tentative="1">
      <w:start w:val="1"/>
      <w:numFmt w:val="bullet"/>
      <w:lvlText w:val="–"/>
      <w:lvlJc w:val="left"/>
      <w:pPr>
        <w:spacing w:after="100"/>
        <w:ind w:left="1440" w:hanging="360"/>
      </w:pPr>
      <w:rPr>
        <w:rFonts w:ascii="Arial" w:cs="Arial" w:eastAsia="Arial" w:hAnsi="Arial"/>
        <w:color w:val="8C8C8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6192E" w:sz="18" w:space="6"/>
      </w:pBdr>
      <w:spacing w:after="240" w:before="48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A619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2026-06-21T00:02:19.541Z</dcterms:created>
  <dcterms:modified xsi:type="dcterms:W3CDTF">2026-06-21T00:02:19.542Z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