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b/>
          <w:bCs/>
          <w:color w:val="A6192E"/>
          <w:sz w:val="22"/>
          <w:szCs w:val="22"/>
        </w:rPr>
        <w:t xml:space="preserve">PLAN D'AFFAIRES STRATÉGIQUE EN CYBERSÉCURITÉ D'ENTREPRISE</w:t>
      </w:r>
    </w:p>
    <w:p>
      <w:pPr>
        <w:spacing w:after="120"/>
        <w:jc w:val="center"/>
      </w:pPr>
      <w:r>
        <w:rPr>
          <w:b/>
          <w:bCs/>
          <w:color w:val="1A1A1A"/>
          <w:sz w:val="64"/>
          <w:szCs w:val="64"/>
        </w:rPr>
        <w:t xml:space="preserve">Codeward Security</w:t>
      </w:r>
    </w:p>
    <w:p>
      <w:pPr>
        <w:spacing w:after="280"/>
        <w:jc w:val="center"/>
      </w:pPr>
      <w:r>
        <w:rPr>
          <w:b/>
          <w:bCs/>
          <w:i/>
          <w:iCs/>
          <w:color w:val="A6192E"/>
          <w:sz w:val="28"/>
          <w:szCs w:val="28"/>
        </w:rPr>
        <w:t xml:space="preserve">Une sécurité conçue par des développeurs, pour des développeurs</w:t>
      </w:r>
    </w:p>
    <w:p>
      <w:pPr>
        <w:pBdr>
          <w:bottom w:val="single" w:color="8C8C8C" w:sz="16" w:space="4"/>
        </w:pBdr>
        <w:spacing w:after="280"/>
        <w:jc w:val="center"/>
      </w:pPr>
      <w:r>
        <w:t xml:space="preserve"/>
      </w:r>
    </w:p>
    <w:p>
      <w:pPr>
        <w:spacing w:after="80"/>
        <w:jc w:val="center"/>
      </w:pPr>
      <w:r>
        <w:rPr>
          <w:color w:val="404040"/>
          <w:sz w:val="22"/>
          <w:szCs w:val="22"/>
        </w:rPr>
        <w:t xml:space="preserve">Un cabinet de cybersécurité axé sur le développement, au service des plateformes fintech, des néo-banques, de la finance décentralisée, des banques commerciales et des régulateurs financiers</w:t>
      </w:r>
    </w:p>
    <w:p>
      <w:pPr>
        <w:spacing w:after="600"/>
        <w:jc w:val="center"/>
      </w:pPr>
      <w:r>
        <w:rPr>
          <w:b/>
          <w:bCs/>
          <w:color w:val="8C8C8C"/>
          <w:sz w:val="20"/>
          <w:szCs w:val="20"/>
        </w:rPr>
        <w:t xml:space="preserve">Présent en Amérique du Nord, en Europe et en Afrique</w:t>
      </w:r>
    </w:p>
    <w:tbl>
      <w:tblPr>
        <w:tblW w:type="dxa" w:w="9360"/>
        <w:tblBorders>
          <w:top w:val="none"/>
          <w:left w:val="none"/>
          <w:bottom w:val="none"/>
          <w:right w:val="none"/>
          <w:insideH w:val="none"/>
          <w:insideV w:val="none"/>
        </w:tblBorders>
      </w:tblPr>
      <w:tblGrid>
        <w:gridCol w:w="9360"/>
      </w:tblGrid>
      <w:tr>
        <w:tc>
          <w:tcPr>
            <w:tcW w:type="dxa" w:w="9360"/>
            <w:shd w:fill="1A1A1A" w:val="clear"/>
            <w:tcMar>
              <w:top w:type="dxa" w:w="180"/>
              <w:left w:type="dxa" w:w="200"/>
              <w:bottom w:type="dxa" w:w="180"/>
              <w:right w:type="dxa" w:w="200"/>
            </w:tcMar>
            <w:vAlign w:val="center"/>
          </w:tcPr>
          <w:p>
            <w:pPr>
              <w:jc w:val="center"/>
            </w:pPr>
            <w:r>
              <w:rPr>
                <w:b/>
                <w:bCs/>
                <w:color w:val="FFFFFF"/>
                <w:sz w:val="22"/>
                <w:szCs w:val="22"/>
              </w:rPr>
              <w:t xml:space="preserve">CONFIDENTIEL  —  PLAN D'AFFAIRES STRATÉGIQUE</w:t>
            </w:r>
          </w:p>
        </w:tc>
      </w:tr>
    </w:tbl>
    <w:p>
      <w:pPr>
        <w:spacing w:before="100"/>
        <w:jc w:val="center"/>
      </w:pPr>
      <w:r>
        <w:rPr>
          <w:b/>
          <w:bCs/>
          <w:color w:val="8C8C8C"/>
          <w:sz w:val="20"/>
          <w:szCs w:val="20"/>
        </w:rPr>
        <w:t xml:space="preserve">PRÉPARÉ POUR :  </w:t>
      </w:r>
      <w:r>
        <w:rPr>
          <w:color w:val="404040"/>
          <w:sz w:val="20"/>
          <w:szCs w:val="20"/>
        </w:rPr>
        <w:t xml:space="preserve">Conseil d'administration et direction générale</w:t>
      </w:r>
    </w:p>
    <w:p>
      <w:pPr>
        <w:spacing w:before="100"/>
        <w:jc w:val="center"/>
      </w:pPr>
      <w:r>
        <w:rPr>
          <w:b/>
          <w:bCs/>
          <w:color w:val="8C8C8C"/>
          <w:sz w:val="20"/>
          <w:szCs w:val="20"/>
        </w:rPr>
        <w:t xml:space="preserve">PRÉPARÉ PAR :  </w:t>
      </w:r>
      <w:r>
        <w:rPr>
          <w:color w:val="404040"/>
          <w:sz w:val="20"/>
          <w:szCs w:val="20"/>
        </w:rPr>
        <w:t xml:space="preserve">[Nom du fondateur à insérer], Fondateur et architecte en chef de la sécurité</w:t>
      </w:r>
    </w:p>
    <w:p>
      <w:pPr>
        <w:spacing w:before="100"/>
        <w:jc w:val="center"/>
      </w:pPr>
      <w:r>
        <w:rPr>
          <w:b/>
          <w:bCs/>
          <w:color w:val="8C8C8C"/>
          <w:sz w:val="20"/>
          <w:szCs w:val="20"/>
        </w:rPr>
        <w:t xml:space="preserve">DATE :  </w:t>
      </w:r>
      <w:r>
        <w:rPr>
          <w:color w:val="404040"/>
          <w:sz w:val="20"/>
          <w:szCs w:val="20"/>
        </w:rPr>
        <w:t xml:space="preserve">[Date à insérer]</w:t>
      </w:r>
    </w:p>
    <w:p>
      <w:r>
        <w:br w:type="page"/>
      </w:r>
    </w:p>
    <w:p>
      <w:pPr>
        <w:pStyle w:val="Heading1"/>
      </w:pPr>
      <w:r>
        <w:t xml:space="preserve">1. Synthèse exécutive et proposition de valeur axée sur le développement</w:t>
      </w:r>
    </w:p>
    <w:p>
      <w:pPr>
        <w:pStyle w:val="Heading2"/>
      </w:pPr>
      <w:r>
        <w:t xml:space="preserve">1.1 Identité de l'entreprise</w:t>
      </w:r>
    </w:p>
    <w:p>
      <w:r>
        <w:t xml:space="preserve">L'entreprise exerce sous le nom Codeward Security, choisi pour signaler d'emblée ce qui la différencie : la sécurité conçue directement dans le logiciel, et non découverte a posteriori puis restituée sous forme de rapport de vulnérabilités. « Code » associé à « Ward » (gardien) signale une protection intégrée directement dans la base de code, plutôt qu'ajoutée en périphérie.</w:t>
      </w:r>
    </w:p>
    <w:tbl>
      <w:tblPr>
        <w:tblW w:type="dxa" w:w="9360"/>
        <w:tblBorders>
          <w:top w:val="single" w:color="D4D4D4" w:sz="2"/>
          <w:left w:val="single" w:color="D4D4D4" w:sz="2"/>
          <w:bottom w:val="single" w:color="D4D4D4" w:sz="2"/>
          <w:right w:val="single" w:color="D4D4D4" w:sz="2"/>
          <w:insideH w:val="single" w:color="D4D4D4" w:sz="2"/>
          <w:insideV w:val="single" w:color="D4D4D4" w:sz="2"/>
        </w:tblBorders>
      </w:tblPr>
      <w:tblGrid>
        <w:gridCol w:w="2200"/>
        <w:gridCol w:w="2660"/>
        <w:gridCol w:w="4500"/>
      </w:tblGrid>
      <w:tr>
        <w:trPr>
          <w:tblHeader/>
        </w:trPr>
        <w:tc>
          <w:tcPr>
            <w:tcW w:type="dxa" w:w="2200"/>
            <w:shd w:fill="1A1A1A" w:val="clear"/>
            <w:tcMar>
              <w:top w:type="dxa" w:w="100"/>
              <w:left w:type="dxa" w:w="140"/>
              <w:bottom w:type="dxa" w:w="100"/>
              <w:right w:type="dxa" w:w="140"/>
            </w:tcMar>
            <w:vAlign w:val="center"/>
          </w:tcPr>
          <w:p>
            <w:r>
              <w:rPr>
                <w:b/>
                <w:bCs/>
                <w:color w:val="FFFFFF"/>
                <w:sz w:val="20"/>
                <w:szCs w:val="20"/>
              </w:rPr>
              <w:t xml:space="preserve">Statut</w:t>
            </w:r>
          </w:p>
        </w:tc>
        <w:tc>
          <w:tcPr>
            <w:tcW w:type="dxa" w:w="2660"/>
            <w:shd w:fill="1A1A1A" w:val="clear"/>
            <w:tcMar>
              <w:top w:type="dxa" w:w="100"/>
              <w:left w:type="dxa" w:w="140"/>
              <w:bottom w:type="dxa" w:w="100"/>
              <w:right w:type="dxa" w:w="140"/>
            </w:tcMar>
            <w:vAlign w:val="center"/>
          </w:tcPr>
          <w:p>
            <w:r>
              <w:rPr>
                <w:b/>
                <w:bCs/>
                <w:color w:val="FFFFFF"/>
                <w:sz w:val="20"/>
                <w:szCs w:val="20"/>
              </w:rPr>
              <w:t xml:space="preserve">Nom</w:t>
            </w:r>
          </w:p>
        </w:tc>
        <w:tc>
          <w:tcPr>
            <w:tcW w:type="dxa" w:w="4500"/>
            <w:shd w:fill="1A1A1A" w:val="clear"/>
            <w:tcMar>
              <w:top w:type="dxa" w:w="100"/>
              <w:left w:type="dxa" w:w="140"/>
              <w:bottom w:type="dxa" w:w="100"/>
              <w:right w:type="dxa" w:w="140"/>
            </w:tcMar>
            <w:vAlign w:val="center"/>
          </w:tcPr>
          <w:p>
            <w:r>
              <w:rPr>
                <w:b/>
                <w:bCs/>
                <w:color w:val="FFFFFF"/>
                <w:sz w:val="20"/>
                <w:szCs w:val="20"/>
              </w:rPr>
              <w:t xml:space="preserve">Signature</w:t>
            </w:r>
          </w:p>
        </w:tc>
      </w:tr>
      <w:tr>
        <w:tc>
          <w:tcPr>
            <w:tcW w:type="dxa" w:w="2200"/>
            <w:shd w:fill="FFFFFF" w:val="clear"/>
            <w:tcMar>
              <w:top w:type="dxa" w:w="100"/>
              <w:left w:type="dxa" w:w="140"/>
              <w:bottom w:type="dxa" w:w="100"/>
              <w:right w:type="dxa" w:w="140"/>
            </w:tcMar>
            <w:vAlign w:val="center"/>
          </w:tcPr>
          <w:p>
            <w:r>
              <w:rPr>
                <w:b w:val="false"/>
                <w:bCs w:val="false"/>
                <w:color w:val="2B2B2B"/>
                <w:sz w:val="20"/>
                <w:szCs w:val="20"/>
              </w:rPr>
              <w:t xml:space="preserve">Retenu</w:t>
            </w:r>
          </w:p>
        </w:tc>
        <w:tc>
          <w:tcPr>
            <w:tcW w:type="dxa" w:w="2660"/>
            <w:shd w:fill="FFFFFF" w:val="clear"/>
            <w:tcMar>
              <w:top w:type="dxa" w:w="100"/>
              <w:left w:type="dxa" w:w="140"/>
              <w:bottom w:type="dxa" w:w="100"/>
              <w:right w:type="dxa" w:w="140"/>
            </w:tcMar>
            <w:vAlign w:val="center"/>
          </w:tcPr>
          <w:p>
            <w:r>
              <w:rPr>
                <w:b w:val="false"/>
                <w:bCs w:val="false"/>
                <w:color w:val="2B2B2B"/>
                <w:sz w:val="20"/>
                <w:szCs w:val="20"/>
              </w:rPr>
              <w:t xml:space="preserve">Codeward Security</w:t>
            </w:r>
          </w:p>
        </w:tc>
        <w:tc>
          <w:tcPr>
            <w:tcW w:type="dxa" w:w="4500"/>
            <w:shd w:fill="FFFFFF" w:val="clear"/>
            <w:tcMar>
              <w:top w:type="dxa" w:w="100"/>
              <w:left w:type="dxa" w:w="140"/>
              <w:bottom w:type="dxa" w:w="100"/>
              <w:right w:type="dxa" w:w="140"/>
            </w:tcMar>
            <w:vAlign w:val="center"/>
          </w:tcPr>
          <w:p>
            <w:r>
              <w:rPr>
                <w:b w:val="false"/>
                <w:bCs w:val="false"/>
                <w:color w:val="2B2B2B"/>
                <w:sz w:val="20"/>
                <w:szCs w:val="20"/>
              </w:rPr>
              <w:t xml:space="preserve">« Là où le code rencontre la conviction. »</w:t>
            </w:r>
          </w:p>
        </w:tc>
      </w:tr>
      <w:tr>
        <w:tc>
          <w:tcPr>
            <w:tcW w:type="dxa" w:w="2200"/>
            <w:shd w:fill="E9E9E9" w:val="clear"/>
            <w:tcMar>
              <w:top w:type="dxa" w:w="100"/>
              <w:left w:type="dxa" w:w="140"/>
              <w:bottom w:type="dxa" w:w="100"/>
              <w:right w:type="dxa" w:w="140"/>
            </w:tcMar>
            <w:vAlign w:val="center"/>
          </w:tcPr>
          <w:p>
            <w:r>
              <w:rPr>
                <w:b w:val="false"/>
                <w:bCs w:val="false"/>
                <w:color w:val="2B2B2B"/>
                <w:sz w:val="20"/>
                <w:szCs w:val="20"/>
              </w:rPr>
              <w:t xml:space="preserve">Option de réserve</w:t>
            </w:r>
          </w:p>
        </w:tc>
        <w:tc>
          <w:tcPr>
            <w:tcW w:type="dxa" w:w="2660"/>
            <w:shd w:fill="E9E9E9" w:val="clear"/>
            <w:tcMar>
              <w:top w:type="dxa" w:w="100"/>
              <w:left w:type="dxa" w:w="140"/>
              <w:bottom w:type="dxa" w:w="100"/>
              <w:right w:type="dxa" w:w="140"/>
            </w:tcMar>
            <w:vAlign w:val="center"/>
          </w:tcPr>
          <w:p>
            <w:r>
              <w:rPr>
                <w:b w:val="false"/>
                <w:bCs w:val="false"/>
                <w:color w:val="2B2B2B"/>
                <w:sz w:val="20"/>
                <w:szCs w:val="20"/>
              </w:rPr>
              <w:t xml:space="preserve">RootCommit Security</w:t>
            </w:r>
          </w:p>
        </w:tc>
        <w:tc>
          <w:tcPr>
            <w:tcW w:type="dxa" w:w="4500"/>
            <w:shd w:fill="E9E9E9" w:val="clear"/>
            <w:tcMar>
              <w:top w:type="dxa" w:w="100"/>
              <w:left w:type="dxa" w:w="140"/>
              <w:bottom w:type="dxa" w:w="100"/>
              <w:right w:type="dxa" w:w="140"/>
            </w:tcMar>
            <w:vAlign w:val="center"/>
          </w:tcPr>
          <w:p>
            <w:r>
              <w:rPr>
                <w:b w:val="false"/>
                <w:bCs w:val="false"/>
                <w:color w:val="2B2B2B"/>
                <w:sz w:val="20"/>
                <w:szCs w:val="20"/>
              </w:rPr>
              <w:t xml:space="preserve">« Corriger la cause racine, pas le symptôme. »</w:t>
            </w:r>
          </w:p>
        </w:tc>
      </w:tr>
      <w:tr>
        <w:tc>
          <w:tcPr>
            <w:tcW w:type="dxa" w:w="2200"/>
            <w:shd w:fill="FFFFFF" w:val="clear"/>
            <w:tcMar>
              <w:top w:type="dxa" w:w="100"/>
              <w:left w:type="dxa" w:w="140"/>
              <w:bottom w:type="dxa" w:w="100"/>
              <w:right w:type="dxa" w:w="140"/>
            </w:tcMar>
            <w:vAlign w:val="center"/>
          </w:tcPr>
          <w:p>
            <w:r>
              <w:rPr>
                <w:b w:val="false"/>
                <w:bCs w:val="false"/>
                <w:color w:val="2B2B2B"/>
                <w:sz w:val="20"/>
                <w:szCs w:val="20"/>
              </w:rPr>
              <w:t xml:space="preserve">Option de réserve</w:t>
            </w:r>
          </w:p>
        </w:tc>
        <w:tc>
          <w:tcPr>
            <w:tcW w:type="dxa" w:w="2660"/>
            <w:shd w:fill="FFFFFF" w:val="clear"/>
            <w:tcMar>
              <w:top w:type="dxa" w:w="100"/>
              <w:left w:type="dxa" w:w="140"/>
              <w:bottom w:type="dxa" w:w="100"/>
              <w:right w:type="dxa" w:w="140"/>
            </w:tcMar>
            <w:vAlign w:val="center"/>
          </w:tcPr>
          <w:p>
            <w:r>
              <w:rPr>
                <w:b w:val="false"/>
                <w:bCs w:val="false"/>
                <w:color w:val="2B2B2B"/>
                <w:sz w:val="20"/>
                <w:szCs w:val="20"/>
              </w:rPr>
              <w:t xml:space="preserve">Syntaxis Cyber</w:t>
            </w:r>
          </w:p>
        </w:tc>
        <w:tc>
          <w:tcPr>
            <w:tcW w:type="dxa" w:w="4500"/>
            <w:shd w:fill="FFFFFF" w:val="clear"/>
            <w:tcMar>
              <w:top w:type="dxa" w:w="100"/>
              <w:left w:type="dxa" w:w="140"/>
              <w:bottom w:type="dxa" w:w="100"/>
              <w:right w:type="dxa" w:w="140"/>
            </w:tcMar>
            <w:vAlign w:val="center"/>
          </w:tcPr>
          <w:p>
            <w:r>
              <w:rPr>
                <w:b w:val="false"/>
                <w:bCs w:val="false"/>
                <w:color w:val="2B2B2B"/>
                <w:sz w:val="20"/>
                <w:szCs w:val="20"/>
              </w:rPr>
              <w:t xml:space="preserve">« La grammaire du logiciel sécurisé. »</w:t>
            </w:r>
          </w:p>
        </w:tc>
      </w:tr>
    </w:tbl>
    <w:p>
      <w:r>
        <w:rPr>
          <w:i/>
          <w:iCs/>
          <w:color w:val="8C8C8C"/>
          <w:sz w:val="19"/>
          <w:szCs w:val="19"/>
        </w:rPr>
        <w:t xml:space="preserve">Les démarches de protection de marque et d'enregistrement de nom de domaine pour Codeward Security sont en cours ; les deux options de réserve ci-dessus demeurent disponibles en cas de conflit.</w:t>
      </w:r>
    </w:p>
    <w:p>
      <w:pPr>
        <w:pStyle w:val="Heading2"/>
      </w:pPr>
      <w:r>
        <w:t xml:space="preserve">1.2 Énoncé de mission</w:t>
      </w:r>
    </w:p>
    <w:p>
      <w:pPr>
        <w:pBdr>
          <w:left w:val="single" w:color="A6192E" w:sz="24" w:space="14"/>
        </w:pBdr>
        <w:spacing w:after="240" w:before="160"/>
        <w:ind w:left="360"/>
      </w:pPr>
      <w:r>
        <w:rPr>
          <w:i/>
          <w:iCs/>
          <w:color w:val="404040"/>
          <w:sz w:val="23"/>
          <w:szCs w:val="23"/>
        </w:rPr>
        <w:t xml:space="preserve">Codeward Security a pour mission de combler l'écart entre la vitesse de l'ingénierie logicielle moderne et les exigences de sécurité strictes de la finance mondiale. Nous ne nous contentons pas de signaler des vulnérabilités : nous intervenons directement dans la pull request, le pipeline et la revue d'architecture, en corrigeant les failles à la source, afin que chaque plateforme fintech, néo-banque et protocole DeFi que nous accompagnons soit livré rapidement et en toute sécurité. Fondée par des ingénieurs, conçue pour des ingénieurs, reconnue par les régulateurs.</w:t>
      </w:r>
    </w:p>
    <w:p>
      <w:pPr>
        <w:pStyle w:val="Heading2"/>
      </w:pPr>
      <w:r>
        <w:t xml:space="preserve">1.3 Proposition de valeur fondamentale</w:t>
      </w:r>
    </w:p>
    <w:p>
      <w:r>
        <w:t xml:space="preserve">Notre différenciation repose sur trois piliers que les cabinets de conseil traditionnels, axés uniquement sur l'audit, ne peuvent reproduire, faute d'avoir été bâtis par des praticiens ayant livré du code en production sous la pression réelle de la norme PCI-DSS et du référentiel SOC 2.</w:t>
      </w:r>
    </w:p>
    <w:p>
      <w:pPr>
        <w:pStyle w:val="Heading3"/>
      </w:pPr>
      <w:r>
        <w:t xml:space="preserve">Pilier A — Revue de code sécurisée assistée par IA</w:t>
      </w:r>
    </w:p>
    <w:p>
      <w:pPr>
        <w:pStyle w:val="ListParagraph"/>
        <w:numPr>
          <w:ilvl w:val="0"/>
          <w:numId w:val="2"/>
        </w:numPr>
      </w:pPr>
      <w:r>
        <w:rPr>
          <w:b/>
          <w:bCs/>
          <w:color w:val="1A1A1A"/>
        </w:rPr>
        <w:t xml:space="preserve">Pipeline de revue hybride : </w:t>
      </w:r>
      <w:r>
        <w:t xml:space="preserve">un triage piloté par des experts et assisté par IA qui rédige des correctifs et n'achemine vers les ingénieurs séniors que les failles avérées et critiques pour l'activité.</w:t>
      </w:r>
    </w:p>
    <w:p>
      <w:pPr>
        <w:pStyle w:val="ListParagraph"/>
        <w:numPr>
          <w:ilvl w:val="0"/>
          <w:numId w:val="2"/>
        </w:numPr>
      </w:pPr>
      <w:r>
        <w:rPr>
          <w:b/>
          <w:bCs/>
          <w:color w:val="1A1A1A"/>
        </w:rPr>
        <w:t xml:space="preserve">Contexte métier financier : </w:t>
      </w:r>
      <w:r>
        <w:t xml:space="preserve">des modèles d'analyse calibrés sur la logique transactionnelle, l'intégrité des grands livres et la gestion des clés cryptographiques — et non sur des schémas génériques d'applications web.</w:t>
      </w:r>
    </w:p>
    <w:p>
      <w:pPr>
        <w:pStyle w:val="ListParagraph"/>
        <w:numPr>
          <w:ilvl w:val="0"/>
          <w:numId w:val="2"/>
        </w:numPr>
      </w:pPr>
      <w:r>
        <w:rPr>
          <w:b/>
          <w:bCs/>
          <w:color w:val="1A1A1A"/>
        </w:rPr>
        <w:t xml:space="preserve">Correction intégrée au code : </w:t>
      </w:r>
      <w:r>
        <w:t xml:space="preserve">chaque constat est livré avec un correctif proposé au niveau du code, et non une simple référence CVE assortie d'un score de gravité.</w:t>
      </w:r>
    </w:p>
    <w:p>
      <w:pPr>
        <w:pStyle w:val="Heading3"/>
      </w:pPr>
      <w:r>
        <w:t xml:space="preserve">Pilier B — Intégration DevSecOps au pipeline</w:t>
      </w:r>
    </w:p>
    <w:p>
      <w:pPr>
        <w:pStyle w:val="ListParagraph"/>
        <w:numPr>
          <w:ilvl w:val="0"/>
          <w:numId w:val="2"/>
        </w:numPr>
      </w:pPr>
      <w:r>
        <w:rPr>
          <w:b/>
          <w:bCs/>
          <w:color w:val="1A1A1A"/>
        </w:rPr>
        <w:t xml:space="preserve">Contrôles natifs au pipeline : </w:t>
      </w:r>
      <w:r>
        <w:t xml:space="preserve">des vérifications de sécurité intégrées directement à GitHub Actions, GitLab CI, Jenkins et CircleCI — sans portail distinct obligeant les développeurs à changer de contexte.</w:t>
      </w:r>
    </w:p>
    <w:p>
      <w:pPr>
        <w:pStyle w:val="ListParagraph"/>
        <w:numPr>
          <w:ilvl w:val="0"/>
          <w:numId w:val="2"/>
        </w:numPr>
      </w:pPr>
      <w:r>
        <w:rPr>
          <w:b/>
          <w:bCs/>
          <w:color w:val="1A1A1A"/>
        </w:rPr>
        <w:t xml:space="preserve">Garde-fous de politique-as-code : </w:t>
      </w:r>
      <w:r>
        <w:t xml:space="preserve">des règles Open Policy Agent / Conftest qui bloquent les configurations d'infrastructure-as-code et les images de conteneurs non sécurisées avant la fusion, et non après le déploiement.</w:t>
      </w:r>
    </w:p>
    <w:p>
      <w:pPr>
        <w:pStyle w:val="ListParagraph"/>
        <w:numPr>
          <w:ilvl w:val="0"/>
          <w:numId w:val="2"/>
        </w:numPr>
      </w:pPr>
      <w:r>
        <w:rPr>
          <w:b/>
          <w:bCs/>
          <w:color w:val="1A1A1A"/>
        </w:rPr>
        <w:t xml:space="preserve">Le MTTR comme indicateur d'ingénierie : </w:t>
      </w:r>
      <w:r>
        <w:t xml:space="preserve">le délai moyen de correction est mesuré et publié au même titre que la fréquence de déploiement et le délai de livraison des changements.</w:t>
      </w:r>
    </w:p>
    <w:p>
      <w:pPr>
        <w:pStyle w:val="Heading3"/>
      </w:pPr>
      <w:r>
        <w:t xml:space="preserve">Pilier C — Sécurité des API et de la couche transactionnelle</w:t>
      </w:r>
    </w:p>
    <w:p>
      <w:pPr>
        <w:pStyle w:val="ListParagraph"/>
        <w:numPr>
          <w:ilvl w:val="0"/>
          <w:numId w:val="2"/>
        </w:numPr>
      </w:pPr>
      <w:r>
        <w:rPr>
          <w:b/>
          <w:bCs/>
          <w:color w:val="1A1A1A"/>
        </w:rPr>
        <w:t xml:space="preserve">Spécialisation sur les rails de paiement : </w:t>
      </w:r>
      <w:r>
        <w:t xml:space="preserve">une expertise pointue de la sécurité REST, GraphQL et de la messagerie ISO 20022 / SWIFT.</w:t>
      </w:r>
    </w:p>
    <w:p>
      <w:pPr>
        <w:pStyle w:val="ListParagraph"/>
        <w:numPr>
          <w:ilvl w:val="0"/>
          <w:numId w:val="2"/>
        </w:numPr>
      </w:pPr>
      <w:r>
        <w:rPr>
          <w:b/>
          <w:bCs/>
          <w:color w:val="1A1A1A"/>
        </w:rPr>
        <w:t xml:space="preserve">Tests de vecteurs de fraude : </w:t>
      </w:r>
      <w:r>
        <w:t xml:space="preserve">des tests d'abus de logique métier portant sur la prise de contrôle de compte, le rejeu de transactions, la manipulation des grands livres et la réentrance des smart contracts.</w:t>
      </w:r>
    </w:p>
    <w:p>
      <w:pPr>
        <w:pStyle w:val="ListParagraph"/>
        <w:numPr>
          <w:ilvl w:val="0"/>
          <w:numId w:val="2"/>
        </w:numPr>
      </w:pPr>
      <w:r>
        <w:rPr>
          <w:b/>
          <w:bCs/>
          <w:color w:val="1A1A1A"/>
        </w:rPr>
        <w:t xml:space="preserve">Détection de dérive de schéma : </w:t>
      </w:r>
      <w:r>
        <w:t xml:space="preserve">une surveillance continue des points de terminaison API fantômes ou obsolètes, avant que des attaquants ne les découvrent.</w:t>
      </w:r>
    </w:p>
    <w:p>
      <w:pPr>
        <w:pStyle w:val="Heading2"/>
      </w:pPr>
      <w:r>
        <w:t xml:space="preserve">1.4 Présence géographique</w:t>
      </w:r>
    </w:p>
    <w:p>
      <w:r>
        <w:t xml:space="preserve">Codeward Security est conçue dès l'origine comme un cabinet mondial, structuré autour de trois piliers régionaux détaillés intégralement à la section 4.</w:t>
      </w:r>
    </w:p>
    <w:p>
      <w:pPr>
        <w:pStyle w:val="ListParagraph"/>
        <w:numPr>
          <w:ilvl w:val="0"/>
          <w:numId w:val="2"/>
        </w:numPr>
      </w:pPr>
      <w:r>
        <w:rPr>
          <w:b/>
          <w:bCs/>
          <w:color w:val="1A1A1A"/>
        </w:rPr>
        <w:t xml:space="preserve">Amérique du Nord : </w:t>
      </w:r>
      <w:r>
        <w:t xml:space="preserve">marché de lancement principal et base d'ingénierie, porté par la demande fintech et bancaire liée à PCI-DSS, SOC 2 et GLBA.</w:t>
      </w:r>
    </w:p>
    <w:p>
      <w:pPr>
        <w:pStyle w:val="ListParagraph"/>
        <w:numPr>
          <w:ilvl w:val="0"/>
          <w:numId w:val="2"/>
        </w:numPr>
      </w:pPr>
      <w:r>
        <w:rPr>
          <w:b/>
          <w:bCs/>
          <w:color w:val="1A1A1A"/>
        </w:rPr>
        <w:t xml:space="preserve">Europe : </w:t>
      </w:r>
      <w:r>
        <w:t xml:space="preserve">un point d'entrée fondé sur la profondeur réglementaire, autour de DORA, NIS2 et du RGPD — le régime de cyber-réglementation financière le plus abouti au monde.</w:t>
      </w:r>
    </w:p>
    <w:p>
      <w:pPr>
        <w:pStyle w:val="ListParagraph"/>
        <w:numPr>
          <w:ilvl w:val="0"/>
          <w:numId w:val="2"/>
        </w:numPr>
      </w:pPr>
      <w:r>
        <w:rPr>
          <w:b/>
          <w:bCs/>
          <w:color w:val="1A1A1A"/>
        </w:rPr>
        <w:t xml:space="preserve">Afrique : </w:t>
      </w:r>
      <w:r>
        <w:t xml:space="preserve">un relais de croissance axé sur le mobile, au service des écosystèmes fintech à forte croissance portés par l'argent mobile au Nigeria, au Kenya, en Afrique du Sud et au-delà.</w:t>
      </w:r>
    </w:p>
    <w:p>
      <w:r>
        <w:br w:type="page"/>
      </w:r>
    </w:p>
    <w:p>
      <w:pPr>
        <w:pStyle w:val="Heading1"/>
      </w:pPr>
      <w:r>
        <w:t xml:space="preserve">2. Portefeuille de services de sécurité axés sur le logiciel et la fintech</w:t>
      </w:r>
    </w:p>
    <w:p>
      <w:r>
        <w:t xml:space="preserve">Le portefeuille est organisé autour du cycle de vie du développement logiciel (SDLC) plutôt qu'autour de domaines de sécurité génériques — reflétant la conviction fondatrice du cabinet : la sécurité est une propriété de la manière dont le logiciel est conçu, et non un élément ajouté après coup.</w:t>
      </w:r>
    </w:p>
    <w:p>
      <w:pPr>
        <w:pStyle w:val="Heading2"/>
      </w:pPr>
      <w:r>
        <w:t xml:space="preserve">2.1 Sécurité applicative (AppSec) et audit de code</w:t>
      </w:r>
    </w:p>
    <w:p>
      <w:r>
        <w:t xml:space="preserve">Une assurance au niveau du code couvrant l'ensemble du SDLC, combinant expertise manuelle et outillage automatisé.</w:t>
      </w:r>
    </w:p>
    <w:p>
      <w:pPr>
        <w:pStyle w:val="ListParagraph"/>
        <w:numPr>
          <w:ilvl w:val="0"/>
          <w:numId w:val="2"/>
        </w:numPr>
      </w:pPr>
      <w:r>
        <w:t xml:space="preserve">Tests statiques de sécurité applicative (SAST) : analyse ligne par ligne du code source pour détecter les failles d'injection, la cryptographie faible, les secrets codés en dur et les erreurs de logique d'authentification.</w:t>
      </w:r>
    </w:p>
    <w:p>
      <w:pPr>
        <w:pStyle w:val="ListParagraph"/>
        <w:numPr>
          <w:ilvl w:val="0"/>
          <w:numId w:val="2"/>
        </w:numPr>
      </w:pPr>
      <w:r>
        <w:t xml:space="preserve">Tests dynamiques de sécurité applicative (DAST) : tests en boîte noire et authentifiés des environnements de préproduction pour valider l'exploitabilité réelle des failles.</w:t>
      </w:r>
    </w:p>
    <w:p>
      <w:pPr>
        <w:pStyle w:val="ListParagraph"/>
        <w:numPr>
          <w:ilvl w:val="0"/>
          <w:numId w:val="2"/>
        </w:numPr>
      </w:pPr>
      <w:r>
        <w:t xml:space="preserve">Analyse de composition logicielle (SCA) : inventaire continu et notation du risque des dépendances open source, des paquets transitifs et de la conformité des licences.</w:t>
      </w:r>
    </w:p>
    <w:p>
      <w:pPr>
        <w:pStyle w:val="ListParagraph"/>
        <w:numPr>
          <w:ilvl w:val="0"/>
          <w:numId w:val="2"/>
        </w:numPr>
      </w:pPr>
      <w:r>
        <w:t xml:space="preserve">Revue de code manuelle réalisée par des ingénieurs ayant une expérience fintech en production, centrée sur la logique métier et non la seule reconnaissance de motifs.</w:t>
      </w:r>
    </w:p>
    <w:p>
      <w:pPr>
        <w:pStyle w:val="ListParagraph"/>
        <w:numPr>
          <w:ilvl w:val="0"/>
          <w:numId w:val="2"/>
        </w:numPr>
      </w:pPr>
      <w:r>
        <w:t xml:space="preserve">Analyse des secrets et des identifiants dans les dépôts, l'historique des commits et les journaux CI/CD.</w:t>
      </w:r>
    </w:p>
    <w:p>
      <w:pPr>
        <w:pStyle w:val="ListParagraph"/>
        <w:numPr>
          <w:ilvl w:val="0"/>
          <w:numId w:val="2"/>
        </w:numPr>
      </w:pPr>
      <w:r>
        <w:t xml:space="preserve">Évaluations de maturité du SDLC sécurisé, bénchmarkées sur OWASP SAMM et BSIMM.</w:t>
      </w:r>
    </w:p>
    <w:p>
      <w:pPr>
        <w:pStyle w:val="Heading2"/>
      </w:pPr>
      <w:r>
        <w:t xml:space="preserve">2.2 DevSecOps en tant que service</w:t>
      </w:r>
    </w:p>
    <w:p>
      <w:r>
        <w:t xml:space="preserve">La sécurité est intégrée sous forme de code directement dans les flux d'ingénierie afin que les applications financières naissent sécurisées plutôt que d'être sécurisées a posteriori.</w:t>
      </w:r>
    </w:p>
    <w:p>
      <w:pPr>
        <w:pStyle w:val="ListParagraph"/>
        <w:numPr>
          <w:ilvl w:val="0"/>
          <w:numId w:val="2"/>
        </w:numPr>
      </w:pPr>
      <w:r>
        <w:t xml:space="preserve">Instrumentation des pipelines CI/CD sur GitHub Actions, GitLab CI, Jenkins et Azure DevOps, avec des contrôles de sécurité automatisés aux étapes de commit, de build et de déploiement.</w:t>
      </w:r>
    </w:p>
    <w:p>
      <w:pPr>
        <w:pStyle w:val="ListParagraph"/>
        <w:numPr>
          <w:ilvl w:val="0"/>
          <w:numId w:val="2"/>
        </w:numPr>
      </w:pPr>
      <w:r>
        <w:t xml:space="preserve">Analyse de l'infrastructure-as-code (IaC) pour les configurations Terraform, CloudFormation et Pulumi avant le provisionnement.</w:t>
      </w:r>
    </w:p>
    <w:p>
      <w:pPr>
        <w:pStyle w:val="ListParagraph"/>
        <w:numPr>
          <w:ilvl w:val="0"/>
          <w:numId w:val="2"/>
        </w:numPr>
      </w:pPr>
      <w:r>
        <w:t xml:space="preserve">Durcissement des images de conteneurs et signature obligatoire des artefacts (Cosign / Sigstore) pour garantir l'intégrité de la chaîne d'approvisionnement logicielle.</w:t>
      </w:r>
    </w:p>
    <w:p>
      <w:pPr>
        <w:pStyle w:val="ListParagraph"/>
        <w:numPr>
          <w:ilvl w:val="0"/>
          <w:numId w:val="2"/>
        </w:numPr>
      </w:pPr>
      <w:r>
        <w:t xml:space="preserve">Garde-fous de politique-as-code qui font échouer automatiquement les builds en cas de constat critique ou élevé, avec des indications de correction intégrées et accessibles aux développeurs.</w:t>
      </w:r>
    </w:p>
    <w:p>
      <w:pPr>
        <w:pStyle w:val="ListParagraph"/>
        <w:numPr>
          <w:ilvl w:val="0"/>
          <w:numId w:val="2"/>
        </w:numPr>
      </w:pPr>
      <w:r>
        <w:t xml:space="preserve">Programme de « champions sécurité » intégrant des ingénieurs formés au sein des équipes de développement du client pour pérenniser la pratique après la mission.</w:t>
      </w:r>
    </w:p>
    <w:p>
      <w:pPr>
        <w:pStyle w:val="ListParagraph"/>
        <w:numPr>
          <w:ilvl w:val="0"/>
          <w:numId w:val="2"/>
        </w:numPr>
      </w:pPr>
      <w:r>
        <w:t xml:space="preserve">Génération et surveillance continue de la nomenclature logicielle (SBOM) pour chaque artefact livré.</w:t>
      </w:r>
    </w:p>
    <w:p>
      <w:pPr>
        <w:pStyle w:val="Heading2"/>
      </w:pPr>
      <w:r>
        <w:t xml:space="preserve">2.3 Sécurité des API et de l'infrastructure cloud-native</w:t>
      </w:r>
    </w:p>
    <w:p>
      <w:r>
        <w:t xml:space="preserve">L'infrastructure fintech moderne évolue dans des environnements distribués, éphémères et centrés sur les API — nos pratiques de durcissement sont conçues nativement pour cette réalité.</w:t>
      </w:r>
    </w:p>
    <w:p>
      <w:pPr>
        <w:pStyle w:val="ListParagraph"/>
        <w:numPr>
          <w:ilvl w:val="0"/>
          <w:numId w:val="2"/>
        </w:numPr>
      </w:pPr>
      <w:r>
        <w:t xml:space="preserve">Tests de sécurité des API REST et GraphQL : contournement des autorisations, affectation massive de propriétés, rupture du contrôle d'autorisation au niveau objet (BOLA) et contournement des limites de débit.</w:t>
      </w:r>
    </w:p>
    <w:p>
      <w:pPr>
        <w:pStyle w:val="ListParagraph"/>
        <w:numPr>
          <w:ilvl w:val="0"/>
          <w:numId w:val="2"/>
        </w:numPr>
      </w:pPr>
      <w:r>
        <w:t xml:space="preserve">Revue de l'architecture de sécurité des microservices sur Kubernetes et Docker, y compris l'application du chiffrement mTLS au sein du maillage de services (Istio/Linkerd).</w:t>
      </w:r>
    </w:p>
    <w:p>
      <w:pPr>
        <w:pStyle w:val="ListParagraph"/>
        <w:numPr>
          <w:ilvl w:val="0"/>
          <w:numId w:val="2"/>
        </w:numPr>
      </w:pPr>
      <w:r>
        <w:t xml:space="preserve">Durcissement de l'infrastructure cloud-native sur AWS, Azure (y compris les configurations Azure Financial Services Cloud) et GCP, aligné sur les référentiels CIS Benchmarks.</w:t>
      </w:r>
    </w:p>
    <w:p>
      <w:pPr>
        <w:pStyle w:val="ListParagraph"/>
        <w:numPr>
          <w:ilvl w:val="0"/>
          <w:numId w:val="2"/>
        </w:numPr>
      </w:pPr>
      <w:r>
        <w:t xml:space="preserve">Conception de la gestion des identités et des accès (IAM) selon le principe du moindre privilège, et revues des droits sur des environnements multi-comptes et multi-abonnements.</w:t>
      </w:r>
    </w:p>
    <w:p>
      <w:pPr>
        <w:pStyle w:val="ListParagraph"/>
        <w:numPr>
          <w:ilvl w:val="0"/>
          <w:numId w:val="2"/>
        </w:numPr>
      </w:pPr>
      <w:r>
        <w:t xml:space="preserve">Architecture de gestion des secrets (HashiCorp Vault, AWS Secrets Manager, Azure Key Vault) avec rotation automatisée des clés.</w:t>
      </w:r>
    </w:p>
    <w:p>
      <w:pPr>
        <w:pStyle w:val="ListParagraph"/>
        <w:numPr>
          <w:ilvl w:val="0"/>
          <w:numId w:val="2"/>
        </w:numPr>
      </w:pPr>
      <w:r>
        <w:t xml:space="preserve">Conception de la segmentation réseau « zero trust » pour les environnements de traitement des paiements.</w:t>
      </w:r>
    </w:p>
    <w:p>
      <w:pPr>
        <w:pStyle w:val="Heading2"/>
      </w:pPr>
      <w:r>
        <w:t xml:space="preserve">2.4 Sécurité offensive (Équipe Rouge)</w:t>
      </w:r>
    </w:p>
    <w:p>
      <w:r>
        <w:t xml:space="preserve">Des tests contradictoires conçus spécifiquement pour les scénarios de menace visant les systèmes transactionnels financiers, et non pour des réseaux d'entreprise génériques.</w:t>
      </w:r>
    </w:p>
    <w:p>
      <w:pPr>
        <w:pStyle w:val="ListParagraph"/>
        <w:numPr>
          <w:ilvl w:val="0"/>
          <w:numId w:val="2"/>
        </w:numPr>
      </w:pPr>
      <w:r>
        <w:t xml:space="preserve">Tests d'intrusion axés fintech sur les surfaces d'attaque web, mobile et API, y compris les passerelles de paiement et les intégrations bancaires de base.</w:t>
      </w:r>
    </w:p>
    <w:p>
      <w:pPr>
        <w:pStyle w:val="ListParagraph"/>
        <w:numPr>
          <w:ilvl w:val="0"/>
          <w:numId w:val="2"/>
        </w:numPr>
      </w:pPr>
      <w:r>
        <w:t xml:space="preserve">Audit de smart contracts pour les protocoles DeFi : réentrance, manipulation d'oracle, exploits de prêts éclair, dépassements d'entiers et failles de contrôle d'accès.</w:t>
      </w:r>
    </w:p>
    <w:p>
      <w:pPr>
        <w:pStyle w:val="ListParagraph"/>
        <w:numPr>
          <w:ilvl w:val="0"/>
          <w:numId w:val="2"/>
        </w:numPr>
      </w:pPr>
      <w:r>
        <w:t xml:space="preserve">Modélisation des menaces selon la méthodologie STRIDE, intégrée directement aux sprints d'architecture et de conception.</w:t>
      </w:r>
    </w:p>
    <w:p>
      <w:pPr>
        <w:pStyle w:val="ListParagraph"/>
        <w:numPr>
          <w:ilvl w:val="0"/>
          <w:numId w:val="2"/>
        </w:numPr>
      </w:pPr>
      <w:r>
        <w:t xml:space="preserve">Détection de failles de logique métier : abus de séquencement des transactions, conditions de course lors des mises à jour de solde et contournement des workflows d'autorisation.</w:t>
      </w:r>
    </w:p>
    <w:p>
      <w:pPr>
        <w:pStyle w:val="ListParagraph"/>
        <w:numPr>
          <w:ilvl w:val="0"/>
          <w:numId w:val="2"/>
        </w:numPr>
      </w:pPr>
      <w:r>
        <w:t xml:space="preserve">Exercices d'Équipe Rouge / Équipe Violette simulant les tactiques, techniques et procédures (TTP) de la criminalité financière organisée.</w:t>
      </w:r>
    </w:p>
    <w:p>
      <w:pPr>
        <w:pStyle w:val="ListParagraph"/>
        <w:numPr>
          <w:ilvl w:val="0"/>
          <w:numId w:val="2"/>
        </w:numPr>
      </w:pPr>
      <w:r>
        <w:t xml:space="preserve">Évaluations d'ingénierie sociale et de sécurité physique pour les institutions gérant une monnaie numérique de banque centrale (MNBC) ou une infrastructure de paiement nationale.</w:t>
      </w:r>
    </w:p>
    <w:p>
      <w:pPr>
        <w:pStyle w:val="Heading2"/>
      </w:pPr>
      <w:r>
        <w:t xml:space="preserve">2.5 Gouvernance, risque et conformité (GRC) fintech</w:t>
      </w:r>
    </w:p>
    <w:p>
      <w:r>
        <w:t xml:space="preserve">La conformité conçue comme le sous-produit d'une architecture sécurisée, et non comme un exercice administratif greffé sur un cycle d'audit annuel. Les programmes sont construits de manière modulaire selon les juridictions, plutôt que calqués sur un seul marché d'origine.</w:t>
      </w:r>
    </w:p>
    <w:p>
      <w:pPr>
        <w:pStyle w:val="ListParagraph"/>
        <w:numPr>
          <w:ilvl w:val="0"/>
          <w:numId w:val="2"/>
        </w:numPr>
      </w:pPr>
      <w:r>
        <w:t xml:space="preserve">Évaluation de préparation PCI-DSS v4.0 et correction des écarts pour les environnements de cartes de paiement.</w:t>
      </w:r>
    </w:p>
    <w:p>
      <w:pPr>
        <w:pStyle w:val="ListParagraph"/>
        <w:numPr>
          <w:ilvl w:val="0"/>
          <w:numId w:val="2"/>
        </w:numPr>
      </w:pPr>
      <w:r>
        <w:t xml:space="preserve">Préparation SOC 2 Type II, conception des contrôles et automatisation de la collecte continue de preuves.</w:t>
      </w:r>
    </w:p>
    <w:p>
      <w:pPr>
        <w:pStyle w:val="ListParagraph"/>
        <w:numPr>
          <w:ilvl w:val="0"/>
          <w:numId w:val="2"/>
        </w:numPr>
      </w:pPr>
      <w:r>
        <w:t xml:space="preserve">Préparation DORA (Règlement sur la résilience opérationnelle numérique) et NIS2 pour les entités réglementées dans l'UE ou en lien avec l'UE, y compris le risque lié aux prestataires TIC tiers, l'accompagnement aux tests d'intrusion fondés sur la menace (TLPT) et les dispositifs de notification d'incidents.</w:t>
      </w:r>
    </w:p>
    <w:p>
      <w:pPr>
        <w:pStyle w:val="ListParagraph"/>
        <w:numPr>
          <w:ilvl w:val="0"/>
          <w:numId w:val="2"/>
        </w:numPr>
      </w:pPr>
      <w:r>
        <w:t xml:space="preserve">Conformité à la règle de sauvegarde du GLBA pour les institutions financières américaines traitant des informations personnelles non publiques.</w:t>
      </w:r>
    </w:p>
    <w:p>
      <w:pPr>
        <w:pStyle w:val="ListParagraph"/>
        <w:numPr>
          <w:ilvl w:val="0"/>
          <w:numId w:val="2"/>
        </w:numPr>
      </w:pPr>
      <w:r>
        <w:t xml:space="preserve">Accompagnement à la mise en œuvre et à la certification ISO 27001.</w:t>
      </w:r>
    </w:p>
    <w:p>
      <w:pPr>
        <w:pStyle w:val="ListParagraph"/>
        <w:numPr>
          <w:ilvl w:val="0"/>
          <w:numId w:val="2"/>
        </w:numPr>
      </w:pPr>
      <w:r>
        <w:t xml:space="preserve">Programmes de conformité africains en matière de protection des données et de réglementation financière, couvrant la NDPA et les cadres de cybersécurité de la CBN au Nigeria, la POPIA en Afrique du Sud et la loi sur la protection des données au Kenya.</w:t>
      </w:r>
    </w:p>
    <w:p>
      <w:pPr>
        <w:pStyle w:val="ListParagraph"/>
        <w:numPr>
          <w:ilvl w:val="0"/>
          <w:numId w:val="2"/>
        </w:numPr>
      </w:pPr>
      <w:r>
        <w:t xml:space="preserve">Programmes de gestion du risque fournisseurs et tiers, y compris les évaluations de conformité des API d'Open Banking (PSD2/PSD3 et équivalents régionaux).</w:t>
      </w:r>
    </w:p>
    <w:p>
      <w:pPr>
        <w:pStyle w:val="Heading2"/>
      </w:pPr>
      <w:r>
        <w:t xml:space="preserve">2.6 Surveillance continue des menaces (vSOC)</w:t>
      </w:r>
    </w:p>
    <w:p>
      <w:r>
        <w:t xml:space="preserve">Une capacité d'opérations de sécurité virtuelle conçue spécifiquement pour la visibilité de la couche transactionnelle, et non pour la simple agrégation de journaux.</w:t>
      </w:r>
    </w:p>
    <w:p>
      <w:pPr>
        <w:pStyle w:val="ListParagraph"/>
        <w:numPr>
          <w:ilvl w:val="0"/>
          <w:numId w:val="2"/>
        </w:numPr>
      </w:pPr>
      <w:r>
        <w:t xml:space="preserve">Surveillance du trafic API 24 heures sur 24 et 7 jours sur 7, avec détection d'anomalies calibrée sur les volumes de paiement et de transactions.</w:t>
      </w:r>
    </w:p>
    <w:p>
      <w:pPr>
        <w:pStyle w:val="ListParagraph"/>
        <w:numPr>
          <w:ilvl w:val="0"/>
          <w:numId w:val="2"/>
        </w:numPr>
      </w:pPr>
      <w:r>
        <w:t xml:space="preserve">Atténuation des bots et défense contre le bourrage d'identifiants pour les passerelles de paiement et les parcours de connexion ou d'inscription.</w:t>
      </w:r>
    </w:p>
    <w:p>
      <w:pPr>
        <w:pStyle w:val="ListParagraph"/>
        <w:numPr>
          <w:ilvl w:val="0"/>
          <w:numId w:val="2"/>
        </w:numPr>
      </w:pPr>
      <w:r>
        <w:t xml:space="preserve">Détection en temps réel des schémas de fraude transactionnelle grâce à des modèles comportementaux et d'anomalies basés sur des graphes.</w:t>
      </w:r>
    </w:p>
    <w:p>
      <w:pPr>
        <w:pStyle w:val="ListParagraph"/>
        <w:numPr>
          <w:ilvl w:val="0"/>
          <w:numId w:val="2"/>
        </w:numPr>
      </w:pPr>
      <w:r>
        <w:t xml:space="preserve">Détection des menaces sur les charges de travail cloud (CWPP) au sein d'infrastructures fintech conteneurisées et serverless.</w:t>
      </w:r>
    </w:p>
    <w:p>
      <w:pPr>
        <w:pStyle w:val="ListParagraph"/>
        <w:numPr>
          <w:ilvl w:val="0"/>
          <w:numId w:val="2"/>
        </w:numPr>
      </w:pPr>
      <w:r>
        <w:t xml:space="preserve">Contrat de réponse aux incidents avec des engagements de niveau de service alignés sur les délais réglementaires de notification des violations.</w:t>
      </w:r>
    </w:p>
    <w:p>
      <w:pPr>
        <w:pStyle w:val="ListParagraph"/>
        <w:numPr>
          <w:ilvl w:val="0"/>
          <w:numId w:val="2"/>
        </w:numPr>
      </w:pPr>
      <w:r>
        <w:t xml:space="preserve">Briefings trimestriels de renseignement sur les menaces, adaptés à la juridiction réglementaire et au paysage des menaces du client.</w:t>
      </w:r>
    </w:p>
    <w:p>
      <w:pPr>
        <w:pStyle w:val="Heading2"/>
      </w:pPr>
      <w:r>
        <w:t xml:space="preserve">2.7 Équipements de sécurité physique — vente, installation et services gérés</w:t>
      </w:r>
    </w:p>
    <w:p>
      <w:r>
        <w:t xml:space="preserve">Nombre des clients bancaires, néo-banques et institutions publiques du cabinet exploitent une infrastructure physique — agences, centres de données, réseaux de distributeurs automatiques et sites de traitement des paiements — qui constitue une cible tout aussi importante que leurs bases de code. Codeward Security étend sa philosophie axée sur le développement à la couche physique, en considérant les caméras, les contrôleurs d'accès et les centrales d'alarme comme des points de terminaison connectés exécutant du logiciel embarqué, et non comme du simple matériel.</w:t>
      </w:r>
    </w:p>
    <w:p>
      <w:pPr>
        <w:pStyle w:val="ListParagraph"/>
        <w:numPr>
          <w:ilvl w:val="0"/>
          <w:numId w:val="2"/>
        </w:numPr>
      </w:pPr>
      <w:r>
        <w:t xml:space="preserve">Vente d'équipements de sécurité : approvisionnement neutre vis-à-vis des fournisseurs pour des systèmes de vidéosurveillance IP, de contrôle d'accès, de détection d'intrusion et de sécurité périmétrique de niveau entreprise, auprès de fabricants reconnus tels qu'Axis Communications, HID Global, Genetec et Bosch Security Systems.</w:t>
      </w:r>
    </w:p>
    <w:p>
      <w:pPr>
        <w:pStyle w:val="ListParagraph"/>
        <w:numPr>
          <w:ilvl w:val="0"/>
          <w:numId w:val="2"/>
        </w:numPr>
      </w:pPr>
      <w:r>
        <w:t xml:space="preserve">Installation professionnelle et intégration pour les agences bancaires, les centres de données, les sites de distributeurs automatiques et les installations de traitement des paiements, en cohérence avec la gestion technique du bâtiment et la segmentation réseau IT/OT existantes.</w:t>
      </w:r>
    </w:p>
    <w:p>
      <w:pPr>
        <w:pStyle w:val="ListParagraph"/>
        <w:numPr>
          <w:ilvl w:val="0"/>
          <w:numId w:val="2"/>
        </w:numPr>
      </w:pPr>
      <w:r>
        <w:t xml:space="preserve">Conception et déploiement de contrôles d'accès physiques biométriques et multifacteurs pour les salles serveurs, les coffres-forts et les autres zones restreintes, alignés sur les principes de moindre privilège appliqués dans la pratique IAM du cabinet.</w:t>
      </w:r>
    </w:p>
    <w:p>
      <w:pPr>
        <w:pStyle w:val="ListParagraph"/>
        <w:numPr>
          <w:ilvl w:val="0"/>
          <w:numId w:val="2"/>
        </w:numPr>
      </w:pPr>
      <w:r>
        <w:t xml:space="preserve">Maintenance gérée et sécurité des micrologiciels : correctifs continus, rotation des identifiants et gestion des vulnérabilités de firmware pour les équipements de sécurité physique, comblant une lacune souvent négligée lorsque caméras IP et contrôleurs d'accès sont livrés avec des identifiants par défaut et un firmware non corrigé.</w:t>
      </w:r>
    </w:p>
    <w:p>
      <w:pPr>
        <w:pStyle w:val="ListParagraph"/>
        <w:numPr>
          <w:ilvl w:val="0"/>
          <w:numId w:val="2"/>
        </w:numPr>
      </w:pPr>
      <w:r>
        <w:t xml:space="preserve">Conception de la convergence physique-cyber : une architecture de sécurité unifiée pour les agences et centres de données, associant contrôle d'accès physique, segmentation réseau et surveillance, revue par les mêmes ingénieurs qui réalisent les travaux AppSec du cabinet.</w:t>
      </w:r>
    </w:p>
    <w:p>
      <w:pPr>
        <w:pStyle w:val="ListParagraph"/>
        <w:numPr>
          <w:ilvl w:val="0"/>
          <w:numId w:val="2"/>
        </w:numPr>
      </w:pPr>
      <w:r>
        <w:t xml:space="preserve">Surveillance d'alarme 24 heures sur 24 et 7 jours sur 7, et coordination de la réponse aux incidents, intégrées au vSOC du cabinet pour offrir une vue corrélée unique de l'activité des menaces physiques et numériques.</w:t>
      </w:r>
    </w:p>
    <w:p>
      <w:r>
        <w:br w:type="page"/>
      </w:r>
    </w:p>
    <w:p>
      <w:pPr>
        <w:pStyle w:val="Heading1"/>
      </w:pPr>
      <w:r>
        <w:t xml:space="preserve">3. Architecture et adaptation aux segments de clientèle</w:t>
      </w:r>
    </w:p>
    <w:p>
      <w:r>
        <w:t xml:space="preserve">Un catalogue de services unique ne peut servir de la même manière une néo-banque de douze employés et une banque commerciale centenaire. L'architecture des missions, le rythme et l'emphase de conformité s'adaptent à chaque segment cible, comme détaillé ci-dessous ; ce cadre par type de client s'applique à l'ensemble des régions d'opération — Amérique du Nord, Europe et Afrique — le détail réglementaire régional étant traité à la section 4.</w:t>
      </w:r>
    </w:p>
    <w:p>
      <w:pPr>
        <w:pStyle w:val="Heading2"/>
      </w:pPr>
      <w:r>
        <w:t xml:space="preserve">3.1 Start-ups fintech et néo-banques</w:t>
      </w:r>
    </w:p>
    <w:p>
      <w:r>
        <w:t xml:space="preserve">La rapidité de mise sur le marché est vitale ; la sécurité doit accélérer le rythme des livraisons, et non le freiner.</w:t>
      </w:r>
    </w:p>
    <w:p>
      <w:pPr>
        <w:pStyle w:val="ListParagraph"/>
        <w:numPr>
          <w:ilvl w:val="0"/>
          <w:numId w:val="2"/>
        </w:numPr>
      </w:pPr>
      <w:r>
        <w:rPr>
          <w:b/>
          <w:bCs/>
          <w:color w:val="1A1A1A"/>
        </w:rPr>
        <w:t xml:space="preserve">Déploiement DevSecOps à haute vitesse : </w:t>
      </w:r>
      <w:r>
        <w:t xml:space="preserve">outillage de sécurité intégré au CI/CD existant en deux à quatre semaines, et non en trimestres.</w:t>
      </w:r>
    </w:p>
    <w:p>
      <w:pPr>
        <w:pStyle w:val="ListParagraph"/>
        <w:numPr>
          <w:ilvl w:val="0"/>
          <w:numId w:val="2"/>
        </w:numPr>
      </w:pPr>
      <w:r>
        <w:rPr>
          <w:b/>
          <w:bCs/>
          <w:color w:val="1A1A1A"/>
        </w:rPr>
        <w:t xml:space="preserve">Sprints de conformité rapides : </w:t>
      </w:r>
      <w:r>
        <w:t xml:space="preserve">préparation à PCI-DSS et SOC 2 Type I conçue en fonction des calendriers de levée de fonds et de diligence raisonnable des partenaires bancaires.</w:t>
      </w:r>
    </w:p>
    <w:p>
      <w:pPr>
        <w:pStyle w:val="ListParagraph"/>
        <w:numPr>
          <w:ilvl w:val="0"/>
          <w:numId w:val="2"/>
        </w:numPr>
      </w:pPr>
      <w:r>
        <w:rPr>
          <w:b/>
          <w:bCs/>
          <w:color w:val="1A1A1A"/>
        </w:rPr>
        <w:t xml:space="preserve">Protection évolutive des API : </w:t>
      </w:r>
      <w:r>
        <w:t xml:space="preserve">une architecture conçue pour des courbes de croissance imprévisibles, du trafic MVP à l'échelle post-Série B.</w:t>
      </w:r>
    </w:p>
    <w:p>
      <w:pPr>
        <w:pStyle w:val="ListParagraph"/>
        <w:numPr>
          <w:ilvl w:val="0"/>
          <w:numId w:val="2"/>
        </w:numPr>
      </w:pPr>
      <w:r>
        <w:rPr>
          <w:b/>
          <w:bCs/>
          <w:color w:val="1A1A1A"/>
        </w:rPr>
        <w:t xml:space="preserve">RSSI à temps partagé (CISO-as-a-Service) : </w:t>
      </w:r>
      <w:r>
        <w:t xml:space="preserve">un accompagnement sécurité au niveau direction pour les équipes pas encore prêtes à recruter un responsable sécurité à temps plein.</w:t>
      </w:r>
    </w:p>
    <w:p>
      <w:pPr>
        <w:pStyle w:val="ListParagraph"/>
        <w:numPr>
          <w:ilvl w:val="0"/>
          <w:numId w:val="2"/>
        </w:numPr>
      </w:pPr>
      <w:r>
        <w:rPr>
          <w:b/>
          <w:bCs/>
          <w:color w:val="1A1A1A"/>
        </w:rPr>
        <w:t xml:space="preserve">Modèle intégré à l'ingénierie : </w:t>
      </w:r>
      <w:r>
        <w:t xml:space="preserve">les ingénieurs sécurité travaillent directement au sein des équipes produit plutôt que de constituer une fonction séparée et bloquante.</w:t>
      </w:r>
    </w:p>
    <w:p>
      <w:pPr>
        <w:pStyle w:val="Heading2"/>
      </w:pPr>
      <w:r>
        <w:t xml:space="preserve">3.2 Banques commerciales établies</w:t>
      </w:r>
    </w:p>
    <w:p>
      <w:r>
        <w:t xml:space="preserve">L'enjeu n'est plus la vitesse sur un terrain vierge, mais la modernisation sécurisée de décennies de dette technique et sécuritaire accumulée.</w:t>
      </w:r>
    </w:p>
    <w:p>
      <w:pPr>
        <w:pStyle w:val="ListParagraph"/>
        <w:numPr>
          <w:ilvl w:val="0"/>
          <w:numId w:val="2"/>
        </w:numPr>
      </w:pPr>
      <w:r>
        <w:rPr>
          <w:b/>
          <w:bCs/>
          <w:color w:val="1A1A1A"/>
        </w:rPr>
        <w:t xml:space="preserve">Audits de modernisation des bases de code historiques : </w:t>
      </w:r>
      <w:r>
        <w:t xml:space="preserve">des feuilles de route de correction prioriseées par le risque pour les interfaces bancaires de base et les initiatives de décomposition des monolithes.</w:t>
      </w:r>
    </w:p>
    <w:p>
      <w:pPr>
        <w:pStyle w:val="ListParagraph"/>
        <w:numPr>
          <w:ilvl w:val="0"/>
          <w:numId w:val="2"/>
        </w:numPr>
      </w:pPr>
      <w:r>
        <w:rPr>
          <w:b/>
          <w:bCs/>
          <w:color w:val="1A1A1A"/>
        </w:rPr>
        <w:t xml:space="preserve">Sécurité des API tierces et d'Open Banking : </w:t>
      </w:r>
      <w:r>
        <w:t xml:space="preserve">tests de conformité PSD2/Open Banking et cartographie de la surface d'attaque des fournisseurs.</w:t>
      </w:r>
    </w:p>
    <w:p>
      <w:pPr>
        <w:pStyle w:val="ListParagraph"/>
        <w:numPr>
          <w:ilvl w:val="0"/>
          <w:numId w:val="2"/>
        </w:numPr>
      </w:pPr>
      <w:r>
        <w:rPr>
          <w:b/>
          <w:bCs/>
          <w:color w:val="1A1A1A"/>
        </w:rPr>
        <w:t xml:space="preserve">Architecture de sécurité pour la migration cloud : </w:t>
      </w:r>
      <w:r>
        <w:t xml:space="preserve">validation en parallèle pour les initiatives de migration et de replateforming, sans interruption de service.</w:t>
      </w:r>
    </w:p>
    <w:p>
      <w:pPr>
        <w:pStyle w:val="ListParagraph"/>
        <w:numPr>
          <w:ilvl w:val="0"/>
          <w:numId w:val="2"/>
        </w:numPr>
      </w:pPr>
      <w:r>
        <w:rPr>
          <w:b/>
          <w:bCs/>
          <w:color w:val="1A1A1A"/>
        </w:rPr>
        <w:t xml:space="preserve">Engagement respectueux de la gouvernance : </w:t>
      </w:r>
      <w:r>
        <w:t xml:space="preserve">un modèle de prestation qui respecte la gouvernance des livraisons existante, les comités d'audit et les relations avec les régulateurs.</w:t>
      </w:r>
    </w:p>
    <w:p>
      <w:pPr>
        <w:pStyle w:val="ListParagraph"/>
        <w:numPr>
          <w:ilvl w:val="0"/>
          <w:numId w:val="2"/>
        </w:numPr>
      </w:pPr>
      <w:r>
        <w:rPr>
          <w:b/>
          <w:bCs/>
          <w:color w:val="1A1A1A"/>
        </w:rPr>
        <w:t xml:space="preserve">Partenariats de long terme : </w:t>
      </w:r>
      <w:r>
        <w:t xml:space="preserve">des feuilles de route de sécurité gérée de douze à trente-six mois, plutôt que des évaluations ponctuelles.</w:t>
      </w:r>
    </w:p>
    <w:p>
      <w:pPr>
        <w:pStyle w:val="Heading2"/>
      </w:pPr>
      <w:r>
        <w:t xml:space="preserve">3.3 Gouvernements et régulateurs financiers</w:t>
      </w:r>
    </w:p>
    <w:p>
      <w:r>
        <w:t xml:space="preserve">Les infrastructures à l'échelle nationale exigent une architecture tenant compte de la souveraineté et le plus haut niveau de rigueur en matière d'assurance et de reporting.</w:t>
      </w:r>
    </w:p>
    <w:p>
      <w:pPr>
        <w:pStyle w:val="ListParagraph"/>
        <w:numPr>
          <w:ilvl w:val="0"/>
          <w:numId w:val="2"/>
        </w:numPr>
      </w:pPr>
      <w:r>
        <w:rPr>
          <w:b/>
          <w:bCs/>
          <w:color w:val="1A1A1A"/>
        </w:rPr>
        <w:t xml:space="preserve">Architecture des passerelles de paiement : </w:t>
      </w:r>
      <w:r>
        <w:t xml:space="preserve">conception de la sécurité des passerelles de paiement nationales et des systèmes de règlement brut en temps réel (RTGS).</w:t>
      </w:r>
    </w:p>
    <w:p>
      <w:pPr>
        <w:pStyle w:val="ListParagraph"/>
        <w:numPr>
          <w:ilvl w:val="0"/>
          <w:numId w:val="2"/>
        </w:numPr>
      </w:pPr>
      <w:r>
        <w:rPr>
          <w:b/>
          <w:bCs/>
          <w:color w:val="1A1A1A"/>
        </w:rPr>
        <w:t xml:space="preserve">Revue d'architecture des MNBC : </w:t>
      </w:r>
      <w:r>
        <w:t xml:space="preserve">conception du grand livre, modèles de garde des actifs et validation de la résilience face à des acteurs étatiques.</w:t>
      </w:r>
    </w:p>
    <w:p>
      <w:pPr>
        <w:pStyle w:val="ListParagraph"/>
        <w:numPr>
          <w:ilvl w:val="0"/>
          <w:numId w:val="2"/>
        </w:numPr>
      </w:pPr>
      <w:r>
        <w:rPr>
          <w:b/>
          <w:bCs/>
          <w:color w:val="1A1A1A"/>
        </w:rPr>
        <w:t xml:space="preserve">Reporting de conformité de niveau audit : </w:t>
      </w:r>
      <w:r>
        <w:t xml:space="preserve">alignement sur les cadres nationaux de cybersécurité et les exigences transfrontalières de souveraineté des données.</w:t>
      </w:r>
    </w:p>
    <w:p>
      <w:pPr>
        <w:pStyle w:val="ListParagraph"/>
        <w:numPr>
          <w:ilvl w:val="0"/>
          <w:numId w:val="2"/>
        </w:numPr>
      </w:pPr>
      <w:r>
        <w:rPr>
          <w:b/>
          <w:bCs/>
          <w:color w:val="1A1A1A"/>
        </w:rPr>
        <w:t xml:space="preserve">Prestation par du personnel habilité : </w:t>
      </w:r>
      <w:r>
        <w:t xml:space="preserve">options d'intervention sur site et en environnement isolé (air-gapped) lorsque requis.</w:t>
      </w:r>
    </w:p>
    <w:p>
      <w:pPr>
        <w:pStyle w:val="ListParagraph"/>
        <w:numPr>
          <w:ilvl w:val="0"/>
          <w:numId w:val="2"/>
        </w:numPr>
      </w:pPr>
      <w:r>
        <w:rPr>
          <w:b/>
          <w:bCs/>
          <w:color w:val="1A1A1A"/>
        </w:rPr>
        <w:t xml:space="preserve">Tests de résilience : </w:t>
      </w:r>
      <w:r>
        <w:t xml:space="preserve">exercices de continuité d'activité alignés sur les mandats nationaux de résilience équivalents à DORA.</w:t>
      </w:r>
    </w:p>
    <w:p>
      <w:pPr>
        <w:pStyle w:val="Heading2"/>
      </w:pPr>
      <w:r>
        <w:t xml:space="preserve">3.4 Aperçu comparatif des segments</w:t>
      </w:r>
    </w:p>
    <w:tbl>
      <w:tblPr>
        <w:tblW w:type="dxa" w:w="9360"/>
        <w:tblBorders>
          <w:top w:val="single" w:color="D4D4D4" w:sz="2"/>
          <w:left w:val="single" w:color="D4D4D4" w:sz="2"/>
          <w:bottom w:val="single" w:color="D4D4D4" w:sz="2"/>
          <w:right w:val="single" w:color="D4D4D4" w:sz="2"/>
          <w:insideH w:val="single" w:color="D4D4D4" w:sz="2"/>
          <w:insideV w:val="single" w:color="D4D4D4" w:sz="2"/>
        </w:tblBorders>
      </w:tblPr>
      <w:tblGrid>
        <w:gridCol w:w="2300"/>
        <w:gridCol w:w="2300"/>
        <w:gridCol w:w="2160"/>
        <w:gridCol w:w="2600"/>
      </w:tblGrid>
      <w:tr>
        <w:trPr>
          <w:tblHeader/>
        </w:trPr>
        <w:tc>
          <w:tcPr>
            <w:tcW w:type="dxa" w:w="2300"/>
            <w:shd w:fill="1A1A1A" w:val="clear"/>
            <w:tcMar>
              <w:top w:type="dxa" w:w="100"/>
              <w:left w:type="dxa" w:w="140"/>
              <w:bottom w:type="dxa" w:w="100"/>
              <w:right w:type="dxa" w:w="140"/>
            </w:tcMar>
            <w:vAlign w:val="center"/>
          </w:tcPr>
          <w:p>
            <w:r>
              <w:rPr>
                <w:b/>
                <w:bCs/>
                <w:color w:val="FFFFFF"/>
                <w:sz w:val="20"/>
                <w:szCs w:val="20"/>
              </w:rPr>
              <w:t xml:space="preserve">Segment</w:t>
            </w:r>
          </w:p>
        </w:tc>
        <w:tc>
          <w:tcPr>
            <w:tcW w:type="dxa" w:w="2300"/>
            <w:shd w:fill="1A1A1A" w:val="clear"/>
            <w:tcMar>
              <w:top w:type="dxa" w:w="100"/>
              <w:left w:type="dxa" w:w="140"/>
              <w:bottom w:type="dxa" w:w="100"/>
              <w:right w:type="dxa" w:w="140"/>
            </w:tcMar>
            <w:vAlign w:val="center"/>
          </w:tcPr>
          <w:p>
            <w:r>
              <w:rPr>
                <w:b/>
                <w:bCs/>
                <w:color w:val="FFFFFF"/>
                <w:sz w:val="20"/>
                <w:szCs w:val="20"/>
              </w:rPr>
              <w:t xml:space="preserve">Facteur principal</w:t>
            </w:r>
          </w:p>
        </w:tc>
        <w:tc>
          <w:tcPr>
            <w:tcW w:type="dxa" w:w="2160"/>
            <w:shd w:fill="1A1A1A" w:val="clear"/>
            <w:tcMar>
              <w:top w:type="dxa" w:w="100"/>
              <w:left w:type="dxa" w:w="140"/>
              <w:bottom w:type="dxa" w:w="100"/>
              <w:right w:type="dxa" w:w="140"/>
            </w:tcMar>
            <w:vAlign w:val="center"/>
          </w:tcPr>
          <w:p>
            <w:r>
              <w:rPr>
                <w:b/>
                <w:bCs/>
                <w:color w:val="FFFFFF"/>
                <w:sz w:val="20"/>
                <w:szCs w:val="20"/>
              </w:rPr>
              <w:t xml:space="preserve">Mission type</w:t>
            </w:r>
          </w:p>
        </w:tc>
        <w:tc>
          <w:tcPr>
            <w:tcW w:type="dxa" w:w="2600"/>
            <w:shd w:fill="1A1A1A" w:val="clear"/>
            <w:tcMar>
              <w:top w:type="dxa" w:w="100"/>
              <w:left w:type="dxa" w:w="140"/>
              <w:bottom w:type="dxa" w:w="100"/>
              <w:right w:type="dxa" w:w="140"/>
            </w:tcMar>
            <w:vAlign w:val="center"/>
          </w:tcPr>
          <w:p>
            <w:r>
              <w:rPr>
                <w:b/>
                <w:bCs/>
                <w:color w:val="FFFFFF"/>
                <w:sz w:val="20"/>
                <w:szCs w:val="20"/>
              </w:rPr>
              <w:t xml:space="preserve">Priorité de conformité</w:t>
            </w:r>
          </w:p>
        </w:tc>
      </w:tr>
      <w:tr>
        <w:tc>
          <w:tcPr>
            <w:tcW w:type="dxa" w:w="2300"/>
            <w:shd w:fill="FFFFFF" w:val="clear"/>
            <w:tcMar>
              <w:top w:type="dxa" w:w="100"/>
              <w:left w:type="dxa" w:w="140"/>
              <w:bottom w:type="dxa" w:w="100"/>
              <w:right w:type="dxa" w:w="140"/>
            </w:tcMar>
            <w:vAlign w:val="center"/>
          </w:tcPr>
          <w:p>
            <w:r>
              <w:rPr>
                <w:b w:val="false"/>
                <w:bCs w:val="false"/>
                <w:color w:val="2B2B2B"/>
                <w:sz w:val="20"/>
                <w:szCs w:val="20"/>
              </w:rPr>
              <w:t xml:space="preserve">Start-ups fintech et néo-banques</w:t>
            </w:r>
          </w:p>
        </w:tc>
        <w:tc>
          <w:tcPr>
            <w:tcW w:type="dxa" w:w="2300"/>
            <w:shd w:fill="FFFFFF" w:val="clear"/>
            <w:tcMar>
              <w:top w:type="dxa" w:w="100"/>
              <w:left w:type="dxa" w:w="140"/>
              <w:bottom w:type="dxa" w:w="100"/>
              <w:right w:type="dxa" w:w="140"/>
            </w:tcMar>
            <w:vAlign w:val="center"/>
          </w:tcPr>
          <w:p>
            <w:r>
              <w:rPr>
                <w:b w:val="false"/>
                <w:bCs w:val="false"/>
                <w:color w:val="2B2B2B"/>
                <w:sz w:val="20"/>
                <w:szCs w:val="20"/>
              </w:rPr>
              <w:t xml:space="preserve">Rapidité de mise sur le marché</w:t>
            </w:r>
          </w:p>
        </w:tc>
        <w:tc>
          <w:tcPr>
            <w:tcW w:type="dxa" w:w="2160"/>
            <w:shd w:fill="FFFFFF" w:val="clear"/>
            <w:tcMar>
              <w:top w:type="dxa" w:w="100"/>
              <w:left w:type="dxa" w:w="140"/>
              <w:bottom w:type="dxa" w:w="100"/>
              <w:right w:type="dxa" w:w="140"/>
            </w:tcMar>
            <w:vAlign w:val="center"/>
          </w:tcPr>
          <w:p>
            <w:r>
              <w:rPr>
                <w:b w:val="false"/>
                <w:bCs w:val="false"/>
                <w:color w:val="2B2B2B"/>
                <w:sz w:val="20"/>
                <w:szCs w:val="20"/>
              </w:rPr>
              <w:t xml:space="preserve">Sprints de 4 à 12 semaines</w:t>
            </w:r>
          </w:p>
        </w:tc>
        <w:tc>
          <w:tcPr>
            <w:tcW w:type="dxa" w:w="2600"/>
            <w:shd w:fill="FFFFFF" w:val="clear"/>
            <w:tcMar>
              <w:top w:type="dxa" w:w="100"/>
              <w:left w:type="dxa" w:w="140"/>
              <w:bottom w:type="dxa" w:w="100"/>
              <w:right w:type="dxa" w:w="140"/>
            </w:tcMar>
            <w:vAlign w:val="center"/>
          </w:tcPr>
          <w:p>
            <w:r>
              <w:rPr>
                <w:b w:val="false"/>
                <w:bCs w:val="false"/>
                <w:color w:val="2B2B2B"/>
                <w:sz w:val="20"/>
                <w:szCs w:val="20"/>
              </w:rPr>
              <w:t xml:space="preserve">PCI-DSS, SOC 2 Type I/II</w:t>
            </w:r>
          </w:p>
        </w:tc>
      </w:tr>
      <w:tr>
        <w:tc>
          <w:tcPr>
            <w:tcW w:type="dxa" w:w="2300"/>
            <w:shd w:fill="E9E9E9" w:val="clear"/>
            <w:tcMar>
              <w:top w:type="dxa" w:w="100"/>
              <w:left w:type="dxa" w:w="140"/>
              <w:bottom w:type="dxa" w:w="100"/>
              <w:right w:type="dxa" w:w="140"/>
            </w:tcMar>
            <w:vAlign w:val="center"/>
          </w:tcPr>
          <w:p>
            <w:r>
              <w:rPr>
                <w:b w:val="false"/>
                <w:bCs w:val="false"/>
                <w:color w:val="2B2B2B"/>
                <w:sz w:val="20"/>
                <w:szCs w:val="20"/>
              </w:rPr>
              <w:t xml:space="preserve">Banques commerciales établies</w:t>
            </w:r>
          </w:p>
        </w:tc>
        <w:tc>
          <w:tcPr>
            <w:tcW w:type="dxa" w:w="2300"/>
            <w:shd w:fill="E9E9E9" w:val="clear"/>
            <w:tcMar>
              <w:top w:type="dxa" w:w="100"/>
              <w:left w:type="dxa" w:w="140"/>
              <w:bottom w:type="dxa" w:w="100"/>
              <w:right w:type="dxa" w:w="140"/>
            </w:tcMar>
            <w:vAlign w:val="center"/>
          </w:tcPr>
          <w:p>
            <w:r>
              <w:rPr>
                <w:b w:val="false"/>
                <w:bCs w:val="false"/>
                <w:color w:val="2B2B2B"/>
                <w:sz w:val="20"/>
                <w:szCs w:val="20"/>
              </w:rPr>
              <w:t xml:space="preserve">Modernisation et risque d'intégration</w:t>
            </w:r>
          </w:p>
        </w:tc>
        <w:tc>
          <w:tcPr>
            <w:tcW w:type="dxa" w:w="2160"/>
            <w:shd w:fill="E9E9E9" w:val="clear"/>
            <w:tcMar>
              <w:top w:type="dxa" w:w="100"/>
              <w:left w:type="dxa" w:w="140"/>
              <w:bottom w:type="dxa" w:w="100"/>
              <w:right w:type="dxa" w:w="140"/>
            </w:tcMar>
            <w:vAlign w:val="center"/>
          </w:tcPr>
          <w:p>
            <w:r>
              <w:rPr>
                <w:b w:val="false"/>
                <w:bCs w:val="false"/>
                <w:color w:val="2B2B2B"/>
                <w:sz w:val="20"/>
                <w:szCs w:val="20"/>
              </w:rPr>
              <w:t xml:space="preserve">12 à 36 mois</w:t>
            </w:r>
          </w:p>
        </w:tc>
        <w:tc>
          <w:tcPr>
            <w:tcW w:type="dxa" w:w="2600"/>
            <w:shd w:fill="E9E9E9" w:val="clear"/>
            <w:tcMar>
              <w:top w:type="dxa" w:w="100"/>
              <w:left w:type="dxa" w:w="140"/>
              <w:bottom w:type="dxa" w:w="100"/>
              <w:right w:type="dxa" w:w="140"/>
            </w:tcMar>
            <w:vAlign w:val="center"/>
          </w:tcPr>
          <w:p>
            <w:r>
              <w:rPr>
                <w:b w:val="false"/>
                <w:bCs w:val="false"/>
                <w:color w:val="2B2B2B"/>
                <w:sz w:val="20"/>
                <w:szCs w:val="20"/>
              </w:rPr>
              <w:t xml:space="preserve">PCI-DSS, SOC 2, GLBA, Open Banking</w:t>
            </w:r>
          </w:p>
        </w:tc>
      </w:tr>
      <w:tr>
        <w:tc>
          <w:tcPr>
            <w:tcW w:type="dxa" w:w="2300"/>
            <w:shd w:fill="FFFFFF" w:val="clear"/>
            <w:tcMar>
              <w:top w:type="dxa" w:w="100"/>
              <w:left w:type="dxa" w:w="140"/>
              <w:bottom w:type="dxa" w:w="100"/>
              <w:right w:type="dxa" w:w="140"/>
            </w:tcMar>
            <w:vAlign w:val="center"/>
          </w:tcPr>
          <w:p>
            <w:r>
              <w:rPr>
                <w:b w:val="false"/>
                <w:bCs w:val="false"/>
                <w:color w:val="2B2B2B"/>
                <w:sz w:val="20"/>
                <w:szCs w:val="20"/>
              </w:rPr>
              <w:t xml:space="preserve">Gouvernements / régulateurs</w:t>
            </w:r>
          </w:p>
        </w:tc>
        <w:tc>
          <w:tcPr>
            <w:tcW w:type="dxa" w:w="2300"/>
            <w:shd w:fill="FFFFFF" w:val="clear"/>
            <w:tcMar>
              <w:top w:type="dxa" w:w="100"/>
              <w:left w:type="dxa" w:w="140"/>
              <w:bottom w:type="dxa" w:w="100"/>
              <w:right w:type="dxa" w:w="140"/>
            </w:tcMar>
            <w:vAlign w:val="center"/>
          </w:tcPr>
          <w:p>
            <w:r>
              <w:rPr>
                <w:b w:val="false"/>
                <w:bCs w:val="false"/>
                <w:color w:val="2B2B2B"/>
                <w:sz w:val="20"/>
                <w:szCs w:val="20"/>
              </w:rPr>
              <w:t xml:space="preserve">Souveraineté et résilience</w:t>
            </w:r>
          </w:p>
        </w:tc>
        <w:tc>
          <w:tcPr>
            <w:tcW w:type="dxa" w:w="2160"/>
            <w:shd w:fill="FFFFFF" w:val="clear"/>
            <w:tcMar>
              <w:top w:type="dxa" w:w="100"/>
              <w:left w:type="dxa" w:w="140"/>
              <w:bottom w:type="dxa" w:w="100"/>
              <w:right w:type="dxa" w:w="140"/>
            </w:tcMar>
            <w:vAlign w:val="center"/>
          </w:tcPr>
          <w:p>
            <w:r>
              <w:rPr>
                <w:b w:val="false"/>
                <w:bCs w:val="false"/>
                <w:color w:val="2B2B2B"/>
                <w:sz w:val="20"/>
                <w:szCs w:val="20"/>
              </w:rPr>
              <w:t xml:space="preserve">12 mois et plus, en continu</w:t>
            </w:r>
          </w:p>
        </w:tc>
        <w:tc>
          <w:tcPr>
            <w:tcW w:type="dxa" w:w="2600"/>
            <w:shd w:fill="FFFFFF" w:val="clear"/>
            <w:tcMar>
              <w:top w:type="dxa" w:w="100"/>
              <w:left w:type="dxa" w:w="140"/>
              <w:bottom w:type="dxa" w:w="100"/>
              <w:right w:type="dxa" w:w="140"/>
            </w:tcMar>
            <w:vAlign w:val="center"/>
          </w:tcPr>
          <w:p>
            <w:r>
              <w:rPr>
                <w:b w:val="false"/>
                <w:bCs w:val="false"/>
                <w:color w:val="2B2B2B"/>
                <w:sz w:val="20"/>
                <w:szCs w:val="20"/>
              </w:rPr>
              <w:t xml:space="preserve">Équivalent DORA, cadres nationaux, normes MNBC</w:t>
            </w:r>
          </w:p>
        </w:tc>
      </w:tr>
    </w:tbl>
    <w:p>
      <w:r>
        <w:br w:type="page"/>
      </w:r>
    </w:p>
    <w:p>
      <w:pPr>
        <w:pStyle w:val="Heading1"/>
      </w:pPr>
      <w:r>
        <w:t xml:space="preserve">4. Expansion internationale : Europe et Afrique</w:t>
      </w:r>
    </w:p>
    <w:p>
      <w:r>
        <w:t xml:space="preserve">Si la mise sur le marché initiale s'ancre en Amérique du Nord, le marché adressable de Codeward Security est mondial dès l'origine. Deux régions revêtent une importance stratégique particulière : l'Europe, dotée de la réglementation cybersécuritaire financière la plus aboutie au monde, et l'Afrique, foyer de certains des écosystèmes fintech axés sur le mobile à plus forte croissance de la planète. Chacune exige sa propre maîtrise réglementaire, son propre modèle de menace et sa propre stratégie d'entrée, plutôt qu'une simple transposition du modèle national.</w:t>
      </w:r>
    </w:p>
    <w:p>
      <w:pPr>
        <w:pStyle w:val="Heading2"/>
      </w:pPr>
      <w:r>
        <w:t xml:space="preserve">4.1 Europe : la profondeur réglementaire comme point d'entrée</w:t>
      </w:r>
    </w:p>
    <w:p>
      <w:pPr>
        <w:pStyle w:val="ListParagraph"/>
        <w:numPr>
          <w:ilvl w:val="0"/>
          <w:numId w:val="2"/>
        </w:numPr>
      </w:pPr>
      <w:r>
        <w:rPr>
          <w:b/>
          <w:bCs/>
          <w:color w:val="1A1A1A"/>
        </w:rPr>
        <w:t xml:space="preserve">DORA (Règlement sur la résilience opérationnelle numérique) : </w:t>
      </w:r>
      <w:r>
        <w:t xml:space="preserve">contraignant pour les entités financières de l'UE depuis le 17 janvier 2025, avec une application active de la supervision tout au long de 2026, incluant un registre obligatoire d'informations sur les prestataires TIC tiers et des tests d'intrusion fondés sur la menace (TLPT) pour les entités importantes. Codeward Security serait elle-même qualifiée de prestataire TIC tiers vis-à-vis de ses clients concernés : ses propres contrôles doivent donc être conformes à DORA avant toute commercialisation auprès du secteur financier de l'UE.</w:t>
      </w:r>
    </w:p>
    <w:p>
      <w:pPr>
        <w:pStyle w:val="ListParagraph"/>
        <w:numPr>
          <w:ilvl w:val="0"/>
          <w:numId w:val="2"/>
        </w:numPr>
      </w:pPr>
      <w:r>
        <w:rPr>
          <w:b/>
          <w:bCs/>
          <w:color w:val="1A1A1A"/>
        </w:rPr>
        <w:t xml:space="preserve">Directive NIS2 : </w:t>
      </w:r>
      <w:r>
        <w:t xml:space="preserve">transposée en droit national dans l'ensemble des États membres de l'UE, avec une échéance de mise en conformité fixée à octobre 2026 pour les entités essentielles et importantes concernées ; plusieurs régulateurs nationaux ont imposé des jalons d'auto-évaluation plus précoces.</w:t>
      </w:r>
    </w:p>
    <w:p>
      <w:pPr>
        <w:pStyle w:val="ListParagraph"/>
        <w:numPr>
          <w:ilvl w:val="0"/>
          <w:numId w:val="2"/>
        </w:numPr>
      </w:pPr>
      <w:r>
        <w:rPr>
          <w:b/>
          <w:bCs/>
          <w:color w:val="1A1A1A"/>
        </w:rPr>
        <w:t xml:space="preserve">RGPD : </w:t>
      </w:r>
      <w:r>
        <w:t xml:space="preserve">le régime de base de protection des données qui sous-tend chaque revue de code sécurisée et chaque mission d'architecture impliquant des données personnelles de l'UE — la revue « privacy by design » est un livrable AppSec permanent, et non un chantier distinct.</w:t>
      </w:r>
    </w:p>
    <w:p>
      <w:pPr>
        <w:pStyle w:val="ListParagraph"/>
        <w:numPr>
          <w:ilvl w:val="0"/>
          <w:numId w:val="2"/>
        </w:numPr>
      </w:pPr>
      <w:r>
        <w:rPr>
          <w:b/>
          <w:bCs/>
          <w:color w:val="1A1A1A"/>
        </w:rPr>
        <w:t xml:space="preserve">PSD2, vers PSD3/PSR : </w:t>
      </w:r>
      <w:r>
        <w:t xml:space="preserve">renforce l'authentification forte du client (SCA) et les exigences relatives aux API d'Open Banking, ce qui détermine directement le périmètre des tests de sécurité API pour les établissements de paiement européens.</w:t>
      </w:r>
    </w:p>
    <w:p>
      <w:pPr>
        <w:pStyle w:val="ListParagraph"/>
        <w:numPr>
          <w:ilvl w:val="0"/>
          <w:numId w:val="2"/>
        </w:numPr>
      </w:pPr>
      <w:r>
        <w:rPr>
          <w:b/>
          <w:bCs/>
          <w:color w:val="1A1A1A"/>
        </w:rPr>
        <w:t xml:space="preserve">eIDAS 2.0 / portefeuille européen d'identité numérique : </w:t>
      </w:r>
      <w:r>
        <w:t xml:space="preserve">introduit de nouveaux parcours de vérification d'identité et d'authentification que les clients fintech et bancaires devront modéliser avant le déploiement national.</w:t>
      </w:r>
    </w:p>
    <w:p>
      <w:pPr>
        <w:pStyle w:val="ListParagraph"/>
        <w:numPr>
          <w:ilvl w:val="0"/>
          <w:numId w:val="2"/>
        </w:numPr>
      </w:pPr>
      <w:r>
        <w:rPr>
          <w:b/>
          <w:bCs/>
          <w:color w:val="1A1A1A"/>
        </w:rPr>
        <w:t xml:space="preserve">Pôles d'implantation : </w:t>
      </w:r>
      <w:r>
        <w:t xml:space="preserve">l'Irlande, la Lituanie, les Pays-Bas et l'Allemagne comme centres d'agrément fintech et d'ingénierie au sein de l'UE, le Royaume-Uni (régulé par la FCA, hors UE depuis le Brexit) constituant un marché de droit commun complémentaire.</w:t>
      </w:r>
    </w:p>
    <w:p>
      <w:pPr>
        <w:pStyle w:val="ListParagraph"/>
        <w:numPr>
          <w:ilvl w:val="0"/>
          <w:numId w:val="2"/>
        </w:numPr>
      </w:pPr>
      <w:r>
        <w:rPr>
          <w:b/>
          <w:bCs/>
          <w:color w:val="1A1A1A"/>
        </w:rPr>
        <w:t xml:space="preserve">Stratégie de pénétration : </w:t>
      </w:r>
      <w:r>
        <w:t xml:space="preserve">création ou partenariat en vue d'une entité juridique basée dans l'UE pour répondre aux exigences de résidence des données et de sous-traitance DORA, et participation aux écosystèmes régionaux d'Open Banking et d'accélérateurs fintech.</w:t>
      </w:r>
    </w:p>
    <w:p>
      <w:pPr>
        <w:pStyle w:val="Heading2"/>
      </w:pPr>
      <w:r>
        <w:t xml:space="preserve">4.2 Afrique : une finance axée sur le mobile, une réglementation fragmentée</w:t>
      </w:r>
    </w:p>
    <w:p>
      <w:r>
        <w:t xml:space="preserve">L'inclusion financière en Afrique repose avant tout sur l'argent mobile plutôt que sur la carte bancaire, ce qui modifie à la fois la cartographie réglementaire et la surface de menace technique par rapport à l'Europe ou à l'Amérique du Nord.</w:t>
      </w:r>
    </w:p>
    <w:p>
      <w:pPr>
        <w:pStyle w:val="ListParagraph"/>
        <w:numPr>
          <w:ilvl w:val="0"/>
          <w:numId w:val="2"/>
        </w:numPr>
      </w:pPr>
      <w:r>
        <w:rPr>
          <w:b/>
          <w:bCs/>
          <w:color w:val="1A1A1A"/>
        </w:rPr>
        <w:t xml:space="preserve">Nigeria : </w:t>
      </w:r>
      <w:r>
        <w:t xml:space="preserve">la loi sur la protection des données du Nigeria (NDPA) de 2023, appliquée par la Commission nigeriane de protection des données (NDPC), impose la minimisation des données, le chiffrement et la notification des violations sous 72 heures ; le cadre de cybersécurité basé sur le risque de la Banque centrale du Nigeria (CBN), destiné aux banques de dépôt et aux établissements de services de paiement (2024), encadre les contrôles au niveau bancaire et des prestataires de paiement, aux côtés d'un cadre réglementaire actif sur l'Open Banking.</w:t>
      </w:r>
    </w:p>
    <w:p>
      <w:pPr>
        <w:pStyle w:val="ListParagraph"/>
        <w:numPr>
          <w:ilvl w:val="0"/>
          <w:numId w:val="2"/>
        </w:numPr>
      </w:pPr>
      <w:r>
        <w:rPr>
          <w:b/>
          <w:bCs/>
          <w:color w:val="1A1A1A"/>
        </w:rPr>
        <w:t xml:space="preserve">Afrique du Sud : </w:t>
      </w:r>
      <w:r>
        <w:t xml:space="preserve">la loi sur la protection des informations personnelles (POPIA), pleinement applicable depuis juillet 2021 et supervisée par l'Information Regulator, fixe le socle de protection des données, avec des amendes administratives pouvant atteindre 10 millions de rands sud-africains en cas de non-conformité.</w:t>
      </w:r>
    </w:p>
    <w:p>
      <w:pPr>
        <w:pStyle w:val="ListParagraph"/>
        <w:numPr>
          <w:ilvl w:val="0"/>
          <w:numId w:val="2"/>
        </w:numPr>
      </w:pPr>
      <w:r>
        <w:rPr>
          <w:b/>
          <w:bCs/>
          <w:color w:val="1A1A1A"/>
        </w:rPr>
        <w:t xml:space="preserve">Kenya : </w:t>
      </w:r>
      <w:r>
        <w:t xml:space="preserve">la loi sur la protection des données de 2019, appliquée par l'Office of the Data Protection Commissioner (ODPC), impose l'enregistrement, la désignation d'un délégué à la protection des données et la réalisation d'analyses d'impact pour les traitements à haut risque, ce qui concerne la plupart des plateformes fintech et de prêt numérique.</w:t>
      </w:r>
    </w:p>
    <w:p>
      <w:pPr>
        <w:pStyle w:val="ListParagraph"/>
        <w:numPr>
          <w:ilvl w:val="0"/>
          <w:numId w:val="2"/>
        </w:numPr>
      </w:pPr>
      <w:r>
        <w:rPr>
          <w:b/>
          <w:bCs/>
          <w:color w:val="1A1A1A"/>
        </w:rPr>
        <w:t xml:space="preserve">Fragmentation réglementaire : </w:t>
      </w:r>
      <w:r>
        <w:t xml:space="preserve">il n'existe pas d'équivalent panafricain du RGPD ; chacune des 54 juridictions du continent exige sa propre posture de conformité, de sorte que la pratique GRC du cabinet doit être modulaire et adaptée à chaque juridiction plutôt que calquée sur un modèle unique.</w:t>
      </w:r>
    </w:p>
    <w:p>
      <w:pPr>
        <w:pStyle w:val="ListParagraph"/>
        <w:numPr>
          <w:ilvl w:val="0"/>
          <w:numId w:val="2"/>
        </w:numPr>
      </w:pPr>
      <w:r>
        <w:rPr>
          <w:b/>
          <w:bCs/>
          <w:color w:val="1A1A1A"/>
        </w:rPr>
        <w:t xml:space="preserve">Sécurité de l'argent mobile et des canaux USSD : </w:t>
      </w:r>
      <w:r>
        <w:t xml:space="preserve">des classes de menaces distinctes de la fintech par carte, incluant la prise de contrôle de compte par échange de carte SIM, le détournement de session USSD et l'ingénierie sociale auprès des réseaux d'agents, nécessitant des scénarios d'Équipe Rouge dédiés.</w:t>
      </w:r>
    </w:p>
    <w:p>
      <w:pPr>
        <w:pStyle w:val="ListParagraph"/>
        <w:numPr>
          <w:ilvl w:val="0"/>
          <w:numId w:val="2"/>
        </w:numPr>
      </w:pPr>
      <w:r>
        <w:rPr>
          <w:b/>
          <w:bCs/>
          <w:color w:val="1A1A1A"/>
        </w:rPr>
        <w:t xml:space="preserve">Surveillance de la fraude sur les réseaux d'agents bancaires : </w:t>
      </w:r>
      <w:r>
        <w:t xml:space="preserve">extension de la capacité vSOC au-delà du trafic applicatif et API, jusqu'à la couche humaine des agents par laquelle transite une grande partie de l'inclusion financière africaine.</w:t>
      </w:r>
    </w:p>
    <w:p>
      <w:pPr>
        <w:pStyle w:val="ListParagraph"/>
        <w:numPr>
          <w:ilvl w:val="0"/>
          <w:numId w:val="2"/>
        </w:numPr>
      </w:pPr>
      <w:r>
        <w:rPr>
          <w:b/>
          <w:bCs/>
          <w:color w:val="1A1A1A"/>
        </w:rPr>
        <w:t xml:space="preserve">Revue d'architecture à faible bande passante et « offline-first » : </w:t>
      </w:r>
      <w:r>
        <w:t xml:space="preserve">des outils de sécurité et des tableaux de bord vSOC conçus pour fonctionner dans des conditions de connectivité intermittente, courantes en dehors des grandes métropoles.</w:t>
      </w:r>
    </w:p>
    <w:p>
      <w:pPr>
        <w:pStyle w:val="ListParagraph"/>
        <w:numPr>
          <w:ilvl w:val="0"/>
          <w:numId w:val="2"/>
        </w:numPr>
      </w:pPr>
      <w:r>
        <w:rPr>
          <w:b/>
          <w:bCs/>
          <w:color w:val="1A1A1A"/>
        </w:rPr>
        <w:t xml:space="preserve">Préparation à la certification GSMA Mobile Money : </w:t>
      </w:r>
      <w:r>
        <w:t xml:space="preserve">accompagnement des opérateurs d'argent mobile en vue de la certification de sécurité et de protection des consommateurs reconnue par l'industrie.</w:t>
      </w:r>
    </w:p>
    <w:p>
      <w:pPr>
        <w:pStyle w:val="ListParagraph"/>
        <w:numPr>
          <w:ilvl w:val="0"/>
          <w:numId w:val="2"/>
        </w:numPr>
      </w:pPr>
      <w:r>
        <w:rPr>
          <w:b/>
          <w:bCs/>
          <w:color w:val="1A1A1A"/>
        </w:rPr>
        <w:t xml:space="preserve">Pôles d'implantation : </w:t>
      </w:r>
      <w:r>
        <w:t xml:space="preserve">Lagos, Nairobi, Le Caire et Le Cap/Johannesburg comme principaux centres de financement fintech et de talents d'ingénierie du continent.</w:t>
      </w:r>
    </w:p>
    <w:p>
      <w:pPr>
        <w:pStyle w:val="ListParagraph"/>
        <w:numPr>
          <w:ilvl w:val="0"/>
          <w:numId w:val="2"/>
        </w:numPr>
      </w:pPr>
      <w:r>
        <w:rPr>
          <w:b/>
          <w:bCs/>
          <w:color w:val="1A1A1A"/>
        </w:rPr>
        <w:t xml:space="preserve">Stratégie de pénétration : </w:t>
      </w:r>
      <w:r>
        <w:t xml:space="preserve">une entrée portée par des partenariats avec les opérateurs de réseaux mobiles régionaux, les switchs de paiement et les accélérateurs fintech soutenus par des institutions de financement du développement, plutôt qu'un modèle de vente directe seul, afin de réduire le délai d'instauration de la confiance sur des marchés moins famil iers.</w:t>
      </w:r>
    </w:p>
    <w:p>
      <w:pPr>
        <w:pStyle w:val="Heading2"/>
      </w:pPr>
      <w:r>
        <w:t xml:space="preserve">4.3 Aperçu régional de la réglementation et du marché</w:t>
      </w:r>
    </w:p>
    <w:tbl>
      <w:tblPr>
        <w:tblW w:type="dxa" w:w="9360"/>
        <w:tblBorders>
          <w:top w:val="single" w:color="D4D4D4" w:sz="2"/>
          <w:left w:val="single" w:color="D4D4D4" w:sz="2"/>
          <w:bottom w:val="single" w:color="D4D4D4" w:sz="2"/>
          <w:right w:val="single" w:color="D4D4D4" w:sz="2"/>
          <w:insideH w:val="single" w:color="D4D4D4" w:sz="2"/>
          <w:insideV w:val="single" w:color="D4D4D4" w:sz="2"/>
        </w:tblBorders>
      </w:tblPr>
      <w:tblGrid>
        <w:gridCol w:w="1860"/>
        <w:gridCol w:w="2700"/>
        <w:gridCol w:w="2700"/>
        <w:gridCol w:w="2100"/>
      </w:tblGrid>
      <w:tr>
        <w:trPr>
          <w:tblHeader/>
        </w:trPr>
        <w:tc>
          <w:tcPr>
            <w:tcW w:type="dxa" w:w="1860"/>
            <w:shd w:fill="1A1A1A" w:val="clear"/>
            <w:tcMar>
              <w:top w:type="dxa" w:w="100"/>
              <w:left w:type="dxa" w:w="140"/>
              <w:bottom w:type="dxa" w:w="100"/>
              <w:right w:type="dxa" w:w="140"/>
            </w:tcMar>
            <w:vAlign w:val="center"/>
          </w:tcPr>
          <w:p>
            <w:r>
              <w:rPr>
                <w:b/>
                <w:bCs/>
                <w:color w:val="FFFFFF"/>
                <w:sz w:val="20"/>
                <w:szCs w:val="20"/>
              </w:rPr>
              <w:t xml:space="preserve">Région</w:t>
            </w:r>
          </w:p>
        </w:tc>
        <w:tc>
          <w:tcPr>
            <w:tcW w:type="dxa" w:w="2700"/>
            <w:shd w:fill="1A1A1A" w:val="clear"/>
            <w:tcMar>
              <w:top w:type="dxa" w:w="100"/>
              <w:left w:type="dxa" w:w="140"/>
              <w:bottom w:type="dxa" w:w="100"/>
              <w:right w:type="dxa" w:w="140"/>
            </w:tcMar>
            <w:vAlign w:val="center"/>
          </w:tcPr>
          <w:p>
            <w:r>
              <w:rPr>
                <w:b/>
                <w:bCs/>
                <w:color w:val="FFFFFF"/>
                <w:sz w:val="20"/>
                <w:szCs w:val="20"/>
              </w:rPr>
              <w:t xml:space="preserve">Réglementations de référence</w:t>
            </w:r>
          </w:p>
        </w:tc>
        <w:tc>
          <w:tcPr>
            <w:tcW w:type="dxa" w:w="2700"/>
            <w:shd w:fill="1A1A1A" w:val="clear"/>
            <w:tcMar>
              <w:top w:type="dxa" w:w="100"/>
              <w:left w:type="dxa" w:w="140"/>
              <w:bottom w:type="dxa" w:w="100"/>
              <w:right w:type="dxa" w:w="140"/>
            </w:tcMar>
            <w:vAlign w:val="center"/>
          </w:tcPr>
          <w:p>
            <w:r>
              <w:rPr>
                <w:b/>
                <w:bCs/>
                <w:color w:val="FFFFFF"/>
                <w:sz w:val="20"/>
                <w:szCs w:val="20"/>
              </w:rPr>
              <w:t xml:space="preserve">Surface de menace distincte</w:t>
            </w:r>
          </w:p>
        </w:tc>
        <w:tc>
          <w:tcPr>
            <w:tcW w:type="dxa" w:w="2100"/>
            <w:shd w:fill="1A1A1A" w:val="clear"/>
            <w:tcMar>
              <w:top w:type="dxa" w:w="100"/>
              <w:left w:type="dxa" w:w="140"/>
              <w:bottom w:type="dxa" w:w="100"/>
              <w:right w:type="dxa" w:w="140"/>
            </w:tcMar>
            <w:vAlign w:val="center"/>
          </w:tcPr>
          <w:p>
            <w:r>
              <w:rPr>
                <w:b/>
                <w:bCs/>
                <w:color w:val="FFFFFF"/>
                <w:sz w:val="20"/>
                <w:szCs w:val="20"/>
              </w:rPr>
              <w:t xml:space="preserve">Pôles d'implantation</w:t>
            </w:r>
          </w:p>
        </w:tc>
      </w:tr>
      <w:tr>
        <w:tc>
          <w:tcPr>
            <w:tcW w:type="dxa" w:w="1860"/>
            <w:shd w:fill="FFFFFF" w:val="clear"/>
            <w:tcMar>
              <w:top w:type="dxa" w:w="100"/>
              <w:left w:type="dxa" w:w="140"/>
              <w:bottom w:type="dxa" w:w="100"/>
              <w:right w:type="dxa" w:w="140"/>
            </w:tcMar>
            <w:vAlign w:val="center"/>
          </w:tcPr>
          <w:p>
            <w:r>
              <w:rPr>
                <w:b w:val="false"/>
                <w:bCs w:val="false"/>
                <w:color w:val="2B2B2B"/>
                <w:sz w:val="20"/>
                <w:szCs w:val="20"/>
              </w:rPr>
              <w:t xml:space="preserve">Union européenne</w:t>
            </w:r>
          </w:p>
        </w:tc>
        <w:tc>
          <w:tcPr>
            <w:tcW w:type="dxa" w:w="2700"/>
            <w:shd w:fill="FFFFFF" w:val="clear"/>
            <w:tcMar>
              <w:top w:type="dxa" w:w="100"/>
              <w:left w:type="dxa" w:w="140"/>
              <w:bottom w:type="dxa" w:w="100"/>
              <w:right w:type="dxa" w:w="140"/>
            </w:tcMar>
            <w:vAlign w:val="center"/>
          </w:tcPr>
          <w:p>
            <w:r>
              <w:rPr>
                <w:b w:val="false"/>
                <w:bCs w:val="false"/>
                <w:color w:val="2B2B2B"/>
                <w:sz w:val="20"/>
                <w:szCs w:val="20"/>
              </w:rPr>
              <w:t xml:space="preserve">DORA, NIS2, RGPD, PSD2/PSD3</w:t>
            </w:r>
          </w:p>
        </w:tc>
        <w:tc>
          <w:tcPr>
            <w:tcW w:type="dxa" w:w="2700"/>
            <w:shd w:fill="FFFFFF" w:val="clear"/>
            <w:tcMar>
              <w:top w:type="dxa" w:w="100"/>
              <w:left w:type="dxa" w:w="140"/>
              <w:bottom w:type="dxa" w:w="100"/>
              <w:right w:type="dxa" w:w="140"/>
            </w:tcMar>
            <w:vAlign w:val="center"/>
          </w:tcPr>
          <w:p>
            <w:r>
              <w:rPr>
                <w:b w:val="false"/>
                <w:bCs w:val="false"/>
                <w:color w:val="2B2B2B"/>
                <w:sz w:val="20"/>
                <w:szCs w:val="20"/>
              </w:rPr>
              <w:t xml:space="preserve">Supervision des prestataires TIC tiers, TLPT, authentification forte du client</w:t>
            </w:r>
          </w:p>
        </w:tc>
        <w:tc>
          <w:tcPr>
            <w:tcW w:type="dxa" w:w="2100"/>
            <w:shd w:fill="FFFFFF" w:val="clear"/>
            <w:tcMar>
              <w:top w:type="dxa" w:w="100"/>
              <w:left w:type="dxa" w:w="140"/>
              <w:bottom w:type="dxa" w:w="100"/>
              <w:right w:type="dxa" w:w="140"/>
            </w:tcMar>
            <w:vAlign w:val="center"/>
          </w:tcPr>
          <w:p>
            <w:r>
              <w:rPr>
                <w:b w:val="false"/>
                <w:bCs w:val="false"/>
                <w:color w:val="2B2B2B"/>
                <w:sz w:val="20"/>
                <w:szCs w:val="20"/>
              </w:rPr>
              <w:t xml:space="preserve">Dublin, Vilnius, Amsterdam, Berlin</w:t>
            </w:r>
          </w:p>
        </w:tc>
      </w:tr>
      <w:tr>
        <w:tc>
          <w:tcPr>
            <w:tcW w:type="dxa" w:w="1860"/>
            <w:shd w:fill="E9E9E9" w:val="clear"/>
            <w:tcMar>
              <w:top w:type="dxa" w:w="100"/>
              <w:left w:type="dxa" w:w="140"/>
              <w:bottom w:type="dxa" w:w="100"/>
              <w:right w:type="dxa" w:w="140"/>
            </w:tcMar>
            <w:vAlign w:val="center"/>
          </w:tcPr>
          <w:p>
            <w:r>
              <w:rPr>
                <w:b w:val="false"/>
                <w:bCs w:val="false"/>
                <w:color w:val="2B2B2B"/>
                <w:sz w:val="20"/>
                <w:szCs w:val="20"/>
              </w:rPr>
              <w:t xml:space="preserve">Royaume-Uni</w:t>
            </w:r>
          </w:p>
        </w:tc>
        <w:tc>
          <w:tcPr>
            <w:tcW w:type="dxa" w:w="2700"/>
            <w:shd w:fill="E9E9E9" w:val="clear"/>
            <w:tcMar>
              <w:top w:type="dxa" w:w="100"/>
              <w:left w:type="dxa" w:w="140"/>
              <w:bottom w:type="dxa" w:w="100"/>
              <w:right w:type="dxa" w:w="140"/>
            </w:tcMar>
            <w:vAlign w:val="center"/>
          </w:tcPr>
          <w:p>
            <w:r>
              <w:rPr>
                <w:b w:val="false"/>
                <w:bCs w:val="false"/>
                <w:color w:val="2B2B2B"/>
                <w:sz w:val="20"/>
                <w:szCs w:val="20"/>
              </w:rPr>
              <w:t xml:space="preserve">Règles de la FCA, UK GDPR</w:t>
            </w:r>
          </w:p>
        </w:tc>
        <w:tc>
          <w:tcPr>
            <w:tcW w:type="dxa" w:w="2700"/>
            <w:shd w:fill="E9E9E9" w:val="clear"/>
            <w:tcMar>
              <w:top w:type="dxa" w:w="100"/>
              <w:left w:type="dxa" w:w="140"/>
              <w:bottom w:type="dxa" w:w="100"/>
              <w:right w:type="dxa" w:w="140"/>
            </w:tcMar>
            <w:vAlign w:val="center"/>
          </w:tcPr>
          <w:p>
            <w:r>
              <w:rPr>
                <w:b w:val="false"/>
                <w:bCs w:val="false"/>
                <w:color w:val="2B2B2B"/>
                <w:sz w:val="20"/>
                <w:szCs w:val="20"/>
              </w:rPr>
              <w:t xml:space="preserve">Open Banking (variante britannique), règles de résilience opérationnelle</w:t>
            </w:r>
          </w:p>
        </w:tc>
        <w:tc>
          <w:tcPr>
            <w:tcW w:type="dxa" w:w="2100"/>
            <w:shd w:fill="E9E9E9" w:val="clear"/>
            <w:tcMar>
              <w:top w:type="dxa" w:w="100"/>
              <w:left w:type="dxa" w:w="140"/>
              <w:bottom w:type="dxa" w:w="100"/>
              <w:right w:type="dxa" w:w="140"/>
            </w:tcMar>
            <w:vAlign w:val="center"/>
          </w:tcPr>
          <w:p>
            <w:r>
              <w:rPr>
                <w:b w:val="false"/>
                <w:bCs w:val="false"/>
                <w:color w:val="2B2B2B"/>
                <w:sz w:val="20"/>
                <w:szCs w:val="20"/>
              </w:rPr>
              <w:t xml:space="preserve">Londres</w:t>
            </w:r>
          </w:p>
        </w:tc>
      </w:tr>
      <w:tr>
        <w:tc>
          <w:tcPr>
            <w:tcW w:type="dxa" w:w="1860"/>
            <w:shd w:fill="FFFFFF" w:val="clear"/>
            <w:tcMar>
              <w:top w:type="dxa" w:w="100"/>
              <w:left w:type="dxa" w:w="140"/>
              <w:bottom w:type="dxa" w:w="100"/>
              <w:right w:type="dxa" w:w="140"/>
            </w:tcMar>
            <w:vAlign w:val="center"/>
          </w:tcPr>
          <w:p>
            <w:r>
              <w:rPr>
                <w:b w:val="false"/>
                <w:bCs w:val="false"/>
                <w:color w:val="2B2B2B"/>
                <w:sz w:val="20"/>
                <w:szCs w:val="20"/>
              </w:rPr>
              <w:t xml:space="preserve">Nigeria</w:t>
            </w:r>
          </w:p>
        </w:tc>
        <w:tc>
          <w:tcPr>
            <w:tcW w:type="dxa" w:w="2700"/>
            <w:shd w:fill="FFFFFF" w:val="clear"/>
            <w:tcMar>
              <w:top w:type="dxa" w:w="100"/>
              <w:left w:type="dxa" w:w="140"/>
              <w:bottom w:type="dxa" w:w="100"/>
              <w:right w:type="dxa" w:w="140"/>
            </w:tcMar>
            <w:vAlign w:val="center"/>
          </w:tcPr>
          <w:p>
            <w:r>
              <w:rPr>
                <w:b w:val="false"/>
                <w:bCs w:val="false"/>
                <w:color w:val="2B2B2B"/>
                <w:sz w:val="20"/>
                <w:szCs w:val="20"/>
              </w:rPr>
              <w:t xml:space="preserve">NDPA 2023, cadre de cybersécurité de la CBN</w:t>
            </w:r>
          </w:p>
        </w:tc>
        <w:tc>
          <w:tcPr>
            <w:tcW w:type="dxa" w:w="2700"/>
            <w:shd w:fill="FFFFFF" w:val="clear"/>
            <w:tcMar>
              <w:top w:type="dxa" w:w="100"/>
              <w:left w:type="dxa" w:w="140"/>
              <w:bottom w:type="dxa" w:w="100"/>
              <w:right w:type="dxa" w:w="140"/>
            </w:tcMar>
            <w:vAlign w:val="center"/>
          </w:tcPr>
          <w:p>
            <w:r>
              <w:rPr>
                <w:b w:val="false"/>
                <w:bCs w:val="false"/>
                <w:color w:val="2B2B2B"/>
                <w:sz w:val="20"/>
                <w:szCs w:val="20"/>
              </w:rPr>
              <w:t xml:space="preserve">Fraude USSD / agents, interopérabilité de l'argent mobile</w:t>
            </w:r>
          </w:p>
        </w:tc>
        <w:tc>
          <w:tcPr>
            <w:tcW w:type="dxa" w:w="2100"/>
            <w:shd w:fill="FFFFFF" w:val="clear"/>
            <w:tcMar>
              <w:top w:type="dxa" w:w="100"/>
              <w:left w:type="dxa" w:w="140"/>
              <w:bottom w:type="dxa" w:w="100"/>
              <w:right w:type="dxa" w:w="140"/>
            </w:tcMar>
            <w:vAlign w:val="center"/>
          </w:tcPr>
          <w:p>
            <w:r>
              <w:rPr>
                <w:b w:val="false"/>
                <w:bCs w:val="false"/>
                <w:color w:val="2B2B2B"/>
                <w:sz w:val="20"/>
                <w:szCs w:val="20"/>
              </w:rPr>
              <w:t xml:space="preserve">Lagos</w:t>
            </w:r>
          </w:p>
        </w:tc>
      </w:tr>
      <w:tr>
        <w:tc>
          <w:tcPr>
            <w:tcW w:type="dxa" w:w="1860"/>
            <w:shd w:fill="E9E9E9" w:val="clear"/>
            <w:tcMar>
              <w:top w:type="dxa" w:w="100"/>
              <w:left w:type="dxa" w:w="140"/>
              <w:bottom w:type="dxa" w:w="100"/>
              <w:right w:type="dxa" w:w="140"/>
            </w:tcMar>
            <w:vAlign w:val="center"/>
          </w:tcPr>
          <w:p>
            <w:r>
              <w:rPr>
                <w:b w:val="false"/>
                <w:bCs w:val="false"/>
                <w:color w:val="2B2B2B"/>
                <w:sz w:val="20"/>
                <w:szCs w:val="20"/>
              </w:rPr>
              <w:t xml:space="preserve">Afrique du Sud</w:t>
            </w:r>
          </w:p>
        </w:tc>
        <w:tc>
          <w:tcPr>
            <w:tcW w:type="dxa" w:w="2700"/>
            <w:shd w:fill="E9E9E9" w:val="clear"/>
            <w:tcMar>
              <w:top w:type="dxa" w:w="100"/>
              <w:left w:type="dxa" w:w="140"/>
              <w:bottom w:type="dxa" w:w="100"/>
              <w:right w:type="dxa" w:w="140"/>
            </w:tcMar>
            <w:vAlign w:val="center"/>
          </w:tcPr>
          <w:p>
            <w:r>
              <w:rPr>
                <w:b w:val="false"/>
                <w:bCs w:val="false"/>
                <w:color w:val="2B2B2B"/>
                <w:sz w:val="20"/>
                <w:szCs w:val="20"/>
              </w:rPr>
              <w:t xml:space="preserve">POPIA</w:t>
            </w:r>
          </w:p>
        </w:tc>
        <w:tc>
          <w:tcPr>
            <w:tcW w:type="dxa" w:w="2700"/>
            <w:shd w:fill="E9E9E9" w:val="clear"/>
            <w:tcMar>
              <w:top w:type="dxa" w:w="100"/>
              <w:left w:type="dxa" w:w="140"/>
              <w:bottom w:type="dxa" w:w="100"/>
              <w:right w:type="dxa" w:w="140"/>
            </w:tcMar>
            <w:vAlign w:val="center"/>
          </w:tcPr>
          <w:p>
            <w:r>
              <w:rPr>
                <w:b w:val="false"/>
                <w:bCs w:val="false"/>
                <w:color w:val="2B2B2B"/>
                <w:sz w:val="20"/>
                <w:szCs w:val="20"/>
              </w:rPr>
              <w:t xml:space="preserve">Fraude hybride carte présente et banque numérique</w:t>
            </w:r>
          </w:p>
        </w:tc>
        <w:tc>
          <w:tcPr>
            <w:tcW w:type="dxa" w:w="2100"/>
            <w:shd w:fill="E9E9E9" w:val="clear"/>
            <w:tcMar>
              <w:top w:type="dxa" w:w="100"/>
              <w:left w:type="dxa" w:w="140"/>
              <w:bottom w:type="dxa" w:w="100"/>
              <w:right w:type="dxa" w:w="140"/>
            </w:tcMar>
            <w:vAlign w:val="center"/>
          </w:tcPr>
          <w:p>
            <w:r>
              <w:rPr>
                <w:b w:val="false"/>
                <w:bCs w:val="false"/>
                <w:color w:val="2B2B2B"/>
                <w:sz w:val="20"/>
                <w:szCs w:val="20"/>
              </w:rPr>
              <w:t xml:space="preserve">Le Cap, Johannesburg</w:t>
            </w:r>
          </w:p>
        </w:tc>
      </w:tr>
      <w:tr>
        <w:tc>
          <w:tcPr>
            <w:tcW w:type="dxa" w:w="1860"/>
            <w:shd w:fill="FFFFFF" w:val="clear"/>
            <w:tcMar>
              <w:top w:type="dxa" w:w="100"/>
              <w:left w:type="dxa" w:w="140"/>
              <w:bottom w:type="dxa" w:w="100"/>
              <w:right w:type="dxa" w:w="140"/>
            </w:tcMar>
            <w:vAlign w:val="center"/>
          </w:tcPr>
          <w:p>
            <w:r>
              <w:rPr>
                <w:b w:val="false"/>
                <w:bCs w:val="false"/>
                <w:color w:val="2B2B2B"/>
                <w:sz w:val="20"/>
                <w:szCs w:val="20"/>
              </w:rPr>
              <w:t xml:space="preserve">Kenya</w:t>
            </w:r>
          </w:p>
        </w:tc>
        <w:tc>
          <w:tcPr>
            <w:tcW w:type="dxa" w:w="2700"/>
            <w:shd w:fill="FFFFFF" w:val="clear"/>
            <w:tcMar>
              <w:top w:type="dxa" w:w="100"/>
              <w:left w:type="dxa" w:w="140"/>
              <w:bottom w:type="dxa" w:w="100"/>
              <w:right w:type="dxa" w:w="140"/>
            </w:tcMar>
            <w:vAlign w:val="center"/>
          </w:tcPr>
          <w:p>
            <w:r>
              <w:rPr>
                <w:b w:val="false"/>
                <w:bCs w:val="false"/>
                <w:color w:val="2B2B2B"/>
                <w:sz w:val="20"/>
                <w:szCs w:val="20"/>
              </w:rPr>
              <w:t xml:space="preserve">Loi sur la protection des données de 2019</w:t>
            </w:r>
          </w:p>
        </w:tc>
        <w:tc>
          <w:tcPr>
            <w:tcW w:type="dxa" w:w="2700"/>
            <w:shd w:fill="FFFFFF" w:val="clear"/>
            <w:tcMar>
              <w:top w:type="dxa" w:w="100"/>
              <w:left w:type="dxa" w:w="140"/>
              <w:bottom w:type="dxa" w:w="100"/>
              <w:right w:type="dxa" w:w="140"/>
            </w:tcMar>
            <w:vAlign w:val="center"/>
          </w:tcPr>
          <w:p>
            <w:r>
              <w:rPr>
                <w:b w:val="false"/>
                <w:bCs w:val="false"/>
                <w:color w:val="2B2B2B"/>
                <w:sz w:val="20"/>
                <w:szCs w:val="20"/>
              </w:rPr>
              <w:t xml:space="preserve">Sécurité de l'écosystème d'argent mobile (type M-PESA)</w:t>
            </w:r>
          </w:p>
        </w:tc>
        <w:tc>
          <w:tcPr>
            <w:tcW w:type="dxa" w:w="2100"/>
            <w:shd w:fill="FFFFFF" w:val="clear"/>
            <w:tcMar>
              <w:top w:type="dxa" w:w="100"/>
              <w:left w:type="dxa" w:w="140"/>
              <w:bottom w:type="dxa" w:w="100"/>
              <w:right w:type="dxa" w:w="140"/>
            </w:tcMar>
            <w:vAlign w:val="center"/>
          </w:tcPr>
          <w:p>
            <w:r>
              <w:rPr>
                <w:b w:val="false"/>
                <w:bCs w:val="false"/>
                <w:color w:val="2B2B2B"/>
                <w:sz w:val="20"/>
                <w:szCs w:val="20"/>
              </w:rPr>
              <w:t xml:space="preserve">Nairobi</w:t>
            </w:r>
          </w:p>
        </w:tc>
      </w:tr>
    </w:tbl>
    <w:p>
      <w:r>
        <w:br w:type="page"/>
      </w:r>
    </w:p>
    <w:p>
      <w:pPr>
        <w:pStyle w:val="Heading1"/>
      </w:pPr>
      <w:r>
        <w:t xml:space="preserve">5. Paysage concurrentiel et positionnement de marché</w:t>
      </w:r>
    </w:p>
    <w:p>
      <w:pPr>
        <w:pStyle w:val="Heading2"/>
      </w:pPr>
      <w:r>
        <w:t xml:space="preserve">5.1 Paysage des acteurs établis</w:t>
      </w:r>
    </w:p>
    <w:p>
      <w:r>
        <w:t xml:space="preserve">Aucun concurrent ne combine aujourd'hui les trois moteurs fondamentaux du cabinet — correction intégrée par des ingénieurs, intégration continue au pipeline et spécialisation dans la finance réglementée — au sein d'une même offre. Le tableau ci-dessous évalue les principales catégories d'acteurs établis auxquelles le cabinet sera comparé lors des cycles de vente concurrentiels.</w:t>
      </w:r>
    </w:p>
    <w:tbl>
      <w:tblPr>
        <w:tblW w:type="dxa" w:w="9360"/>
        <w:tblBorders>
          <w:top w:val="single" w:color="D4D4D4" w:sz="2"/>
          <w:left w:val="single" w:color="D4D4D4" w:sz="2"/>
          <w:bottom w:val="single" w:color="D4D4D4" w:sz="2"/>
          <w:right w:val="single" w:color="D4D4D4" w:sz="2"/>
          <w:insideH w:val="single" w:color="D4D4D4" w:sz="2"/>
          <w:insideV w:val="single" w:color="D4D4D4" w:sz="2"/>
        </w:tblBorders>
      </w:tblPr>
      <w:tblGrid>
        <w:gridCol w:w="2200"/>
        <w:gridCol w:w="2360"/>
        <w:gridCol w:w="2300"/>
        <w:gridCol w:w="2500"/>
      </w:tblGrid>
      <w:tr>
        <w:trPr>
          <w:tblHeader/>
        </w:trPr>
        <w:tc>
          <w:tcPr>
            <w:tcW w:type="dxa" w:w="2200"/>
            <w:shd w:fill="1A1A1A" w:val="clear"/>
            <w:tcMar>
              <w:top w:type="dxa" w:w="100"/>
              <w:left w:type="dxa" w:w="140"/>
              <w:bottom w:type="dxa" w:w="100"/>
              <w:right w:type="dxa" w:w="140"/>
            </w:tcMar>
            <w:vAlign w:val="center"/>
          </w:tcPr>
          <w:p>
            <w:r>
              <w:rPr>
                <w:b/>
                <w:bCs/>
                <w:color w:val="FFFFFF"/>
                <w:sz w:val="20"/>
                <w:szCs w:val="20"/>
              </w:rPr>
              <w:t xml:space="preserve">Catégorie</w:t>
            </w:r>
          </w:p>
        </w:tc>
        <w:tc>
          <w:tcPr>
            <w:tcW w:type="dxa" w:w="2360"/>
            <w:shd w:fill="1A1A1A" w:val="clear"/>
            <w:tcMar>
              <w:top w:type="dxa" w:w="100"/>
              <w:left w:type="dxa" w:w="140"/>
              <w:bottom w:type="dxa" w:w="100"/>
              <w:right w:type="dxa" w:w="140"/>
            </w:tcMar>
            <w:vAlign w:val="center"/>
          </w:tcPr>
          <w:p>
            <w:r>
              <w:rPr>
                <w:b/>
                <w:bCs/>
                <w:color w:val="FFFFFF"/>
                <w:sz w:val="20"/>
                <w:szCs w:val="20"/>
              </w:rPr>
              <w:t xml:space="preserve">Acteurs représentatifs</w:t>
            </w:r>
          </w:p>
        </w:tc>
        <w:tc>
          <w:tcPr>
            <w:tcW w:type="dxa" w:w="2300"/>
            <w:shd w:fill="1A1A1A" w:val="clear"/>
            <w:tcMar>
              <w:top w:type="dxa" w:w="100"/>
              <w:left w:type="dxa" w:w="140"/>
              <w:bottom w:type="dxa" w:w="100"/>
              <w:right w:type="dxa" w:w="140"/>
            </w:tcMar>
            <w:vAlign w:val="center"/>
          </w:tcPr>
          <w:p>
            <w:r>
              <w:rPr>
                <w:b/>
                <w:bCs/>
                <w:color w:val="FFFFFF"/>
                <w:sz w:val="20"/>
                <w:szCs w:val="20"/>
              </w:rPr>
              <w:t xml:space="preserve">Modèle de prestation</w:t>
            </w:r>
          </w:p>
        </w:tc>
        <w:tc>
          <w:tcPr>
            <w:tcW w:type="dxa" w:w="2500"/>
            <w:shd w:fill="1A1A1A" w:val="clear"/>
            <w:tcMar>
              <w:top w:type="dxa" w:w="100"/>
              <w:left w:type="dxa" w:w="140"/>
              <w:bottom w:type="dxa" w:w="100"/>
              <w:right w:type="dxa" w:w="140"/>
            </w:tcMar>
            <w:vAlign w:val="center"/>
          </w:tcPr>
          <w:p>
            <w:r>
              <w:rPr>
                <w:b/>
                <w:bCs/>
                <w:color w:val="FFFFFF"/>
                <w:sz w:val="20"/>
                <w:szCs w:val="20"/>
              </w:rPr>
              <w:t xml:space="preserve">Différenciation de Codeward Security</w:t>
            </w:r>
          </w:p>
        </w:tc>
      </w:tr>
      <w:tr>
        <w:tc>
          <w:tcPr>
            <w:tcW w:type="dxa" w:w="2200"/>
            <w:shd w:fill="FFFFFF" w:val="clear"/>
            <w:tcMar>
              <w:top w:type="dxa" w:w="100"/>
              <w:left w:type="dxa" w:w="140"/>
              <w:bottom w:type="dxa" w:w="100"/>
              <w:right w:type="dxa" w:w="140"/>
            </w:tcMar>
            <w:vAlign w:val="center"/>
          </w:tcPr>
          <w:p>
            <w:r>
              <w:rPr>
                <w:b w:val="false"/>
                <w:bCs w:val="false"/>
                <w:color w:val="2B2B2B"/>
                <w:sz w:val="20"/>
                <w:szCs w:val="20"/>
              </w:rPr>
              <w:t xml:space="preserve">Plateformes AppSec / DevSecOps d'entreprise</w:t>
            </w:r>
          </w:p>
        </w:tc>
        <w:tc>
          <w:tcPr>
            <w:tcW w:type="dxa" w:w="2360"/>
            <w:shd w:fill="FFFFFF" w:val="clear"/>
            <w:tcMar>
              <w:top w:type="dxa" w:w="100"/>
              <w:left w:type="dxa" w:w="140"/>
              <w:bottom w:type="dxa" w:w="100"/>
              <w:right w:type="dxa" w:w="140"/>
            </w:tcMar>
            <w:vAlign w:val="center"/>
          </w:tcPr>
          <w:p>
            <w:r>
              <w:rPr>
                <w:b w:val="false"/>
                <w:bCs w:val="false"/>
                <w:color w:val="2B2B2B"/>
                <w:sz w:val="20"/>
                <w:szCs w:val="20"/>
              </w:rPr>
              <w:t xml:space="preserve">Snyk, Veracode, Black Duck Software, Checkmarx</w:t>
            </w:r>
          </w:p>
        </w:tc>
        <w:tc>
          <w:tcPr>
            <w:tcW w:type="dxa" w:w="2300"/>
            <w:shd w:fill="FFFFFF" w:val="clear"/>
            <w:tcMar>
              <w:top w:type="dxa" w:w="100"/>
              <w:left w:type="dxa" w:w="140"/>
              <w:bottom w:type="dxa" w:w="100"/>
              <w:right w:type="dxa" w:w="140"/>
            </w:tcMar>
            <w:vAlign w:val="center"/>
          </w:tcPr>
          <w:p>
            <w:r>
              <w:rPr>
                <w:b w:val="false"/>
                <w:bCs w:val="false"/>
                <w:color w:val="2B2B2B"/>
                <w:sz w:val="20"/>
                <w:szCs w:val="20"/>
              </w:rPr>
              <w:t xml:space="preserve">Outillage SaaS en libre-service, avec services professionnels en complément</w:t>
            </w:r>
          </w:p>
        </w:tc>
        <w:tc>
          <w:tcPr>
            <w:tcW w:type="dxa" w:w="2500"/>
            <w:shd w:fill="FFFFFF" w:val="clear"/>
            <w:tcMar>
              <w:top w:type="dxa" w:w="100"/>
              <w:left w:type="dxa" w:w="140"/>
              <w:bottom w:type="dxa" w:w="100"/>
              <w:right w:type="dxa" w:w="140"/>
            </w:tcMar>
            <w:vAlign w:val="center"/>
          </w:tcPr>
          <w:p>
            <w:r>
              <w:rPr>
                <w:b w:val="false"/>
                <w:bCs w:val="false"/>
                <w:color w:val="2B2B2B"/>
                <w:sz w:val="20"/>
                <w:szCs w:val="20"/>
              </w:rPr>
              <w:t xml:space="preserve">Correction sur mesure, intégrée par des ingénieurs, livrée directement dans les pull requests du client — et non une simple alerte de tableau de bord</w:t>
            </w:r>
          </w:p>
        </w:tc>
      </w:tr>
      <w:tr>
        <w:tc>
          <w:tcPr>
            <w:tcW w:type="dxa" w:w="2200"/>
            <w:shd w:fill="E9E9E9" w:val="clear"/>
            <w:tcMar>
              <w:top w:type="dxa" w:w="100"/>
              <w:left w:type="dxa" w:w="140"/>
              <w:bottom w:type="dxa" w:w="100"/>
              <w:right w:type="dxa" w:w="140"/>
            </w:tcMar>
            <w:vAlign w:val="center"/>
          </w:tcPr>
          <w:p>
            <w:r>
              <w:rPr>
                <w:b w:val="false"/>
                <w:bCs w:val="false"/>
                <w:color w:val="2B2B2B"/>
                <w:sz w:val="20"/>
                <w:szCs w:val="20"/>
              </w:rPr>
              <w:t xml:space="preserve">Cabinets de tests d'intrusion et de sécurité offensive</w:t>
            </w:r>
          </w:p>
        </w:tc>
        <w:tc>
          <w:tcPr>
            <w:tcW w:type="dxa" w:w="2360"/>
            <w:shd w:fill="E9E9E9" w:val="clear"/>
            <w:tcMar>
              <w:top w:type="dxa" w:w="100"/>
              <w:left w:type="dxa" w:w="140"/>
              <w:bottom w:type="dxa" w:w="100"/>
              <w:right w:type="dxa" w:w="140"/>
            </w:tcMar>
            <w:vAlign w:val="center"/>
          </w:tcPr>
          <w:p>
            <w:r>
              <w:rPr>
                <w:b w:val="false"/>
                <w:bCs w:val="false"/>
                <w:color w:val="2B2B2B"/>
                <w:sz w:val="20"/>
                <w:szCs w:val="20"/>
              </w:rPr>
              <w:t xml:space="preserve">NCC Group, Bishop Fox, Kroll, Mandiant (Google Cloud Security)</w:t>
            </w:r>
          </w:p>
        </w:tc>
        <w:tc>
          <w:tcPr>
            <w:tcW w:type="dxa" w:w="2300"/>
            <w:shd w:fill="E9E9E9" w:val="clear"/>
            <w:tcMar>
              <w:top w:type="dxa" w:w="100"/>
              <w:left w:type="dxa" w:w="140"/>
              <w:bottom w:type="dxa" w:w="100"/>
              <w:right w:type="dxa" w:w="140"/>
            </w:tcMar>
            <w:vAlign w:val="center"/>
          </w:tcPr>
          <w:p>
            <w:r>
              <w:rPr>
                <w:b w:val="false"/>
                <w:bCs w:val="false"/>
                <w:color w:val="2B2B2B"/>
                <w:sz w:val="20"/>
                <w:szCs w:val="20"/>
              </w:rPr>
              <w:t xml:space="preserve">Évaluations ponctuelles à large périmètre d'entreprise</w:t>
            </w:r>
          </w:p>
        </w:tc>
        <w:tc>
          <w:tcPr>
            <w:tcW w:type="dxa" w:w="2500"/>
            <w:shd w:fill="E9E9E9" w:val="clear"/>
            <w:tcMar>
              <w:top w:type="dxa" w:w="100"/>
              <w:left w:type="dxa" w:w="140"/>
              <w:bottom w:type="dxa" w:w="100"/>
              <w:right w:type="dxa" w:w="140"/>
            </w:tcMar>
            <w:vAlign w:val="center"/>
          </w:tcPr>
          <w:p>
            <w:r>
              <w:rPr>
                <w:b w:val="false"/>
                <w:bCs w:val="false"/>
                <w:color w:val="2B2B2B"/>
                <w:sz w:val="20"/>
                <w:szCs w:val="20"/>
              </w:rPr>
              <w:t xml:space="preserve">Engagement continu et intégré au pipeline, spécialisé sur les systèmes transactionnels financiers</w:t>
            </w:r>
          </w:p>
        </w:tc>
      </w:tr>
      <w:tr>
        <w:tc>
          <w:tcPr>
            <w:tcW w:type="dxa" w:w="2200"/>
            <w:shd w:fill="FFFFFF" w:val="clear"/>
            <w:tcMar>
              <w:top w:type="dxa" w:w="100"/>
              <w:left w:type="dxa" w:w="140"/>
              <w:bottom w:type="dxa" w:w="100"/>
              <w:right w:type="dxa" w:w="140"/>
            </w:tcMar>
            <w:vAlign w:val="center"/>
          </w:tcPr>
          <w:p>
            <w:r>
              <w:rPr>
                <w:b w:val="false"/>
                <w:bCs w:val="false"/>
                <w:color w:val="2B2B2B"/>
                <w:sz w:val="20"/>
                <w:szCs w:val="20"/>
              </w:rPr>
              <w:t xml:space="preserve">Cabinets de conseil GRC mondiaux (Big 4)</w:t>
            </w:r>
          </w:p>
        </w:tc>
        <w:tc>
          <w:tcPr>
            <w:tcW w:type="dxa" w:w="2360"/>
            <w:shd w:fill="FFFFFF" w:val="clear"/>
            <w:tcMar>
              <w:top w:type="dxa" w:w="100"/>
              <w:left w:type="dxa" w:w="140"/>
              <w:bottom w:type="dxa" w:w="100"/>
              <w:right w:type="dxa" w:w="140"/>
            </w:tcMar>
            <w:vAlign w:val="center"/>
          </w:tcPr>
          <w:p>
            <w:r>
              <w:rPr>
                <w:b w:val="false"/>
                <w:bCs w:val="false"/>
                <w:color w:val="2B2B2B"/>
                <w:sz w:val="20"/>
                <w:szCs w:val="20"/>
              </w:rPr>
              <w:t xml:space="preserve">Deloitte, PwC, EY, pratiques cyber de KPMG</w:t>
            </w:r>
          </w:p>
        </w:tc>
        <w:tc>
          <w:tcPr>
            <w:tcW w:type="dxa" w:w="2300"/>
            <w:shd w:fill="FFFFFF" w:val="clear"/>
            <w:tcMar>
              <w:top w:type="dxa" w:w="100"/>
              <w:left w:type="dxa" w:w="140"/>
              <w:bottom w:type="dxa" w:w="100"/>
              <w:right w:type="dxa" w:w="140"/>
            </w:tcMar>
            <w:vAlign w:val="center"/>
          </w:tcPr>
          <w:p>
            <w:r>
              <w:rPr>
                <w:b w:val="false"/>
                <w:bCs w:val="false"/>
                <w:color w:val="2B2B2B"/>
                <w:sz w:val="20"/>
                <w:szCs w:val="20"/>
              </w:rPr>
              <w:t xml:space="preserve">Approche pilotée par la conformité et l'audit, grandes équipes de conseil généraliste</w:t>
            </w:r>
          </w:p>
        </w:tc>
        <w:tc>
          <w:tcPr>
            <w:tcW w:type="dxa" w:w="2500"/>
            <w:shd w:fill="FFFFFF" w:val="clear"/>
            <w:tcMar>
              <w:top w:type="dxa" w:w="100"/>
              <w:left w:type="dxa" w:w="140"/>
              <w:bottom w:type="dxa" w:w="100"/>
              <w:right w:type="dxa" w:w="140"/>
            </w:tcMar>
            <w:vAlign w:val="center"/>
          </w:tcPr>
          <w:p>
            <w:r>
              <w:rPr>
                <w:b w:val="false"/>
                <w:bCs w:val="false"/>
                <w:color w:val="2B2B2B"/>
                <w:sz w:val="20"/>
                <w:szCs w:val="20"/>
              </w:rPr>
              <w:t xml:space="preserve">La conformité traitée comme un sous-produit du code sécurisé, livrée par des praticiens qui déploient eux-mêmes du logiciel en production</w:t>
            </w:r>
          </w:p>
        </w:tc>
      </w:tr>
      <w:tr>
        <w:tc>
          <w:tcPr>
            <w:tcW w:type="dxa" w:w="2200"/>
            <w:shd w:fill="E9E9E9" w:val="clear"/>
            <w:tcMar>
              <w:top w:type="dxa" w:w="100"/>
              <w:left w:type="dxa" w:w="140"/>
              <w:bottom w:type="dxa" w:w="100"/>
              <w:right w:type="dxa" w:w="140"/>
            </w:tcMar>
            <w:vAlign w:val="center"/>
          </w:tcPr>
          <w:p>
            <w:r>
              <w:rPr>
                <w:b w:val="false"/>
                <w:bCs w:val="false"/>
                <w:color w:val="2B2B2B"/>
                <w:sz w:val="20"/>
                <w:szCs w:val="20"/>
              </w:rPr>
              <w:t xml:space="preserve">Auditeurs de smart contracts DeFi</w:t>
            </w:r>
          </w:p>
        </w:tc>
        <w:tc>
          <w:tcPr>
            <w:tcW w:type="dxa" w:w="2360"/>
            <w:shd w:fill="E9E9E9" w:val="clear"/>
            <w:tcMar>
              <w:top w:type="dxa" w:w="100"/>
              <w:left w:type="dxa" w:w="140"/>
              <w:bottom w:type="dxa" w:w="100"/>
              <w:right w:type="dxa" w:w="140"/>
            </w:tcMar>
            <w:vAlign w:val="center"/>
          </w:tcPr>
          <w:p>
            <w:r>
              <w:rPr>
                <w:b w:val="false"/>
                <w:bCs w:val="false"/>
                <w:color w:val="2B2B2B"/>
                <w:sz w:val="20"/>
                <w:szCs w:val="20"/>
              </w:rPr>
              <w:t xml:space="preserve">CertiK, Trail of Bits, OpenZeppelin, Sherlock</w:t>
            </w:r>
          </w:p>
        </w:tc>
        <w:tc>
          <w:tcPr>
            <w:tcW w:type="dxa" w:w="2300"/>
            <w:shd w:fill="E9E9E9" w:val="clear"/>
            <w:tcMar>
              <w:top w:type="dxa" w:w="100"/>
              <w:left w:type="dxa" w:w="140"/>
              <w:bottom w:type="dxa" w:w="100"/>
              <w:right w:type="dxa" w:w="140"/>
            </w:tcMar>
            <w:vAlign w:val="center"/>
          </w:tcPr>
          <w:p>
            <w:r>
              <w:rPr>
                <w:b w:val="false"/>
                <w:bCs w:val="false"/>
                <w:color w:val="2B2B2B"/>
                <w:sz w:val="20"/>
                <w:szCs w:val="20"/>
              </w:rPr>
              <w:t xml:space="preserve">Modèles d'audit spécialisés, limités à la blockchain, parfois sous forme de concours</w:t>
            </w:r>
          </w:p>
        </w:tc>
        <w:tc>
          <w:tcPr>
            <w:tcW w:type="dxa" w:w="2500"/>
            <w:shd w:fill="E9E9E9" w:val="clear"/>
            <w:tcMar>
              <w:top w:type="dxa" w:w="100"/>
              <w:left w:type="dxa" w:w="140"/>
              <w:bottom w:type="dxa" w:w="100"/>
              <w:right w:type="dxa" w:w="140"/>
            </w:tcMar>
            <w:vAlign w:val="center"/>
          </w:tcPr>
          <w:p>
            <w:r>
              <w:rPr>
                <w:b w:val="false"/>
                <w:bCs w:val="false"/>
                <w:color w:val="2B2B2B"/>
                <w:sz w:val="20"/>
                <w:szCs w:val="20"/>
              </w:rPr>
              <w:t xml:space="preserve">Assurance des smart contracts combinée à l'AppSec fintech complète, à la GRC et au vSOC au sein d'une même mission</w:t>
            </w:r>
          </w:p>
        </w:tc>
      </w:tr>
      <w:tr>
        <w:tc>
          <w:tcPr>
            <w:tcW w:type="dxa" w:w="2200"/>
            <w:shd w:fill="FFFFFF" w:val="clear"/>
            <w:tcMar>
              <w:top w:type="dxa" w:w="100"/>
              <w:left w:type="dxa" w:w="140"/>
              <w:bottom w:type="dxa" w:w="100"/>
              <w:right w:type="dxa" w:w="140"/>
            </w:tcMar>
            <w:vAlign w:val="center"/>
          </w:tcPr>
          <w:p>
            <w:r>
              <w:rPr>
                <w:b w:val="false"/>
                <w:bCs w:val="false"/>
                <w:color w:val="2B2B2B"/>
                <w:sz w:val="20"/>
                <w:szCs w:val="20"/>
              </w:rPr>
              <w:t xml:space="preserve">MSSP mondiaux et renseignement sur les menaces</w:t>
            </w:r>
          </w:p>
        </w:tc>
        <w:tc>
          <w:tcPr>
            <w:tcW w:type="dxa" w:w="2360"/>
            <w:shd w:fill="FFFFFF" w:val="clear"/>
            <w:tcMar>
              <w:top w:type="dxa" w:w="100"/>
              <w:left w:type="dxa" w:w="140"/>
              <w:bottom w:type="dxa" w:w="100"/>
              <w:right w:type="dxa" w:w="140"/>
            </w:tcMar>
            <w:vAlign w:val="center"/>
          </w:tcPr>
          <w:p>
            <w:r>
              <w:rPr>
                <w:b w:val="false"/>
                <w:bCs w:val="false"/>
                <w:color w:val="2B2B2B"/>
                <w:sz w:val="20"/>
                <w:szCs w:val="20"/>
              </w:rPr>
              <w:t xml:space="preserve">CrowdStrike, Palo Alto Networks (Unit 42), IBM Security</w:t>
            </w:r>
          </w:p>
        </w:tc>
        <w:tc>
          <w:tcPr>
            <w:tcW w:type="dxa" w:w="2300"/>
            <w:shd w:fill="FFFFFF" w:val="clear"/>
            <w:tcMar>
              <w:top w:type="dxa" w:w="100"/>
              <w:left w:type="dxa" w:w="140"/>
              <w:bottom w:type="dxa" w:w="100"/>
              <w:right w:type="dxa" w:w="140"/>
            </w:tcMar>
            <w:vAlign w:val="center"/>
          </w:tcPr>
          <w:p>
            <w:r>
              <w:rPr>
                <w:b w:val="false"/>
                <w:bCs w:val="false"/>
                <w:color w:val="2B2B2B"/>
                <w:sz w:val="20"/>
                <w:szCs w:val="20"/>
              </w:rPr>
              <w:t xml:space="preserve">Surveillance centrée sur les postes et le réseau, à large échelle horizontale</w:t>
            </w:r>
          </w:p>
        </w:tc>
        <w:tc>
          <w:tcPr>
            <w:tcW w:type="dxa" w:w="2500"/>
            <w:shd w:fill="FFFFFF" w:val="clear"/>
            <w:tcMar>
              <w:top w:type="dxa" w:w="100"/>
              <w:left w:type="dxa" w:w="140"/>
              <w:bottom w:type="dxa" w:w="100"/>
              <w:right w:type="dxa" w:w="140"/>
            </w:tcMar>
            <w:vAlign w:val="center"/>
          </w:tcPr>
          <w:p>
            <w:r>
              <w:rPr>
                <w:b w:val="false"/>
                <w:bCs w:val="false"/>
                <w:color w:val="2B2B2B"/>
                <w:sz w:val="20"/>
                <w:szCs w:val="20"/>
              </w:rPr>
              <w:t xml:space="preserve">Surveillance native des transactions et des API, conçue spécifiquement pour les systèmes de paiement et les grands livres</w:t>
            </w:r>
          </w:p>
        </w:tc>
      </w:tr>
      <w:tr>
        <w:tc>
          <w:tcPr>
            <w:tcW w:type="dxa" w:w="2200"/>
            <w:shd w:fill="E9E9E9" w:val="clear"/>
            <w:tcMar>
              <w:top w:type="dxa" w:w="100"/>
              <w:left w:type="dxa" w:w="140"/>
              <w:bottom w:type="dxa" w:w="100"/>
              <w:right w:type="dxa" w:w="140"/>
            </w:tcMar>
            <w:vAlign w:val="center"/>
          </w:tcPr>
          <w:p>
            <w:r>
              <w:rPr>
                <w:b w:val="false"/>
                <w:bCs w:val="false"/>
                <w:color w:val="2B2B2B"/>
                <w:sz w:val="20"/>
                <w:szCs w:val="20"/>
              </w:rPr>
              <w:t xml:space="preserve">Intégrateurs de sécurité physique</w:t>
            </w:r>
          </w:p>
        </w:tc>
        <w:tc>
          <w:tcPr>
            <w:tcW w:type="dxa" w:w="2360"/>
            <w:shd w:fill="E9E9E9" w:val="clear"/>
            <w:tcMar>
              <w:top w:type="dxa" w:w="100"/>
              <w:left w:type="dxa" w:w="140"/>
              <w:bottom w:type="dxa" w:w="100"/>
              <w:right w:type="dxa" w:w="140"/>
            </w:tcMar>
            <w:vAlign w:val="center"/>
          </w:tcPr>
          <w:p>
            <w:r>
              <w:rPr>
                <w:b w:val="false"/>
                <w:bCs w:val="false"/>
                <w:color w:val="2B2B2B"/>
                <w:sz w:val="20"/>
                <w:szCs w:val="20"/>
              </w:rPr>
              <w:t xml:space="preserve">Allied Universal, Convergint, Johnson Controls, ADT Commercial</w:t>
            </w:r>
          </w:p>
        </w:tc>
        <w:tc>
          <w:tcPr>
            <w:tcW w:type="dxa" w:w="2300"/>
            <w:shd w:fill="E9E9E9" w:val="clear"/>
            <w:tcMar>
              <w:top w:type="dxa" w:w="100"/>
              <w:left w:type="dxa" w:w="140"/>
              <w:bottom w:type="dxa" w:w="100"/>
              <w:right w:type="dxa" w:w="140"/>
            </w:tcMar>
            <w:vAlign w:val="center"/>
          </w:tcPr>
          <w:p>
            <w:r>
              <w:rPr>
                <w:b w:val="false"/>
                <w:bCs w:val="false"/>
                <w:color w:val="2B2B2B"/>
                <w:sz w:val="20"/>
                <w:szCs w:val="20"/>
              </w:rPr>
              <w:t xml:space="preserve">Installation et surveillance centrées sur le matériel, expertise limitée en sécurité logicielle ou firmware</w:t>
            </w:r>
          </w:p>
        </w:tc>
        <w:tc>
          <w:tcPr>
            <w:tcW w:type="dxa" w:w="2500"/>
            <w:shd w:fill="E9E9E9" w:val="clear"/>
            <w:tcMar>
              <w:top w:type="dxa" w:w="100"/>
              <w:left w:type="dxa" w:w="140"/>
              <w:bottom w:type="dxa" w:w="100"/>
              <w:right w:type="dxa" w:w="140"/>
            </w:tcMar>
            <w:vAlign w:val="center"/>
          </w:tcPr>
          <w:p>
            <w:r>
              <w:rPr>
                <w:b w:val="false"/>
                <w:bCs w:val="false"/>
                <w:color w:val="2B2B2B"/>
                <w:sz w:val="20"/>
                <w:szCs w:val="20"/>
              </w:rPr>
              <w:t xml:space="preserve">Fait converger vente et installation d'équipements avec la rigueur du firmware et de l'AppSec, au sein d'un même prestataire</w:t>
            </w:r>
          </w:p>
        </w:tc>
      </w:tr>
    </w:tbl>
    <w:p>
      <w:pPr>
        <w:pStyle w:val="Heading2"/>
      </w:pPr>
      <w:r>
        <w:t xml:space="preserve">5.2 Espace libre et différenciation</w:t>
      </w:r>
    </w:p>
    <w:p>
      <w:r>
        <w:t xml:space="preserve">Les éditeurs d'outils vendent un logiciel qui exige toujours que les ingénieurs du client trient et corrigent eux-mêmes les constats ; les cabinets de sécurité offensive et les Big 4 vendent une expertise mais se désengagent généralement entre deux évaluations ponctuelles ; les auditeurs blockchain sont pointus mais étroits ; les intégrateurs de sécurité physique installent du matériel sans en sécuriser le firmware. Codeward Security occupe l'espace libre à l'intersection de toutes ces approches : un partenaire unique, spécialisé dans la finance, qui livre des correctifs et non de simples constats, et qui reste intégré au flux d'ingénierie — numérique comme physique — entre deux audits, plutôt que de ne réapparaître qu'une fois par an.</w:t>
      </w:r>
    </w:p>
    <w:p>
      <w:pPr>
        <w:pStyle w:val="Heading2"/>
      </w:pPr>
      <w:r>
        <w:t xml:space="preserve">5.3 Avantage concurrentiel durable</w:t>
      </w:r>
    </w:p>
    <w:p>
      <w:pPr>
        <w:pStyle w:val="ListParagraph"/>
        <w:numPr>
          <w:ilvl w:val="0"/>
          <w:numId w:val="2"/>
        </w:numPr>
      </w:pPr>
      <w:r>
        <w:rPr>
          <w:b/>
          <w:bCs/>
          <w:color w:val="1A1A1A"/>
        </w:rPr>
        <w:t xml:space="preserve">Une profondeur verticale plutôt qu'une largeur horizontale : </w:t>
      </w:r>
      <w:r>
        <w:t xml:space="preserve">la spécialisation dans la finance réglementée évite l'écueil « large mais superficiel » des MSSP horizontaux et des cabinets de conseil généralistes.</w:t>
      </w:r>
    </w:p>
    <w:p>
      <w:pPr>
        <w:pStyle w:val="ListParagraph"/>
        <w:numPr>
          <w:ilvl w:val="0"/>
          <w:numId w:val="2"/>
        </w:numPr>
      </w:pPr>
      <w:r>
        <w:rPr>
          <w:b/>
          <w:bCs/>
          <w:color w:val="1A1A1A"/>
        </w:rPr>
        <w:t xml:space="preserve">Une prestation intégrée à l'ingénierie : </w:t>
      </w:r>
      <w:r>
        <w:t xml:space="preserve">un modèle qui crée des coûts de changement que les plateformes SaaS seules et les cabinets d'audit seuls ne peuvent structurellement reproduire, car il exige de recruter des ingénieurs qui codent, et non de simples analystes qui rapportent.</w:t>
      </w:r>
    </w:p>
    <w:p>
      <w:pPr>
        <w:pStyle w:val="ListParagraph"/>
        <w:numPr>
          <w:ilvl w:val="0"/>
          <w:numId w:val="2"/>
        </w:numPr>
      </w:pPr>
      <w:r>
        <w:rPr>
          <w:b/>
          <w:bCs/>
          <w:color w:val="1A1A1A"/>
        </w:rPr>
        <w:t xml:space="preserve">Une acquisition portée par l'open source : </w:t>
      </w:r>
      <w:r>
        <w:t xml:space="preserve">des outils, des packs de règles et des CTF publiés qui créent un canal de confiance auprès des développeurs que les dispositifs de vente d'entreprise des acteurs horizontaux ne sont pas conçus pour capter.</w:t>
      </w:r>
    </w:p>
    <w:p>
      <w:pPr>
        <w:pStyle w:val="ListParagraph"/>
        <w:numPr>
          <w:ilvl w:val="0"/>
          <w:numId w:val="2"/>
        </w:numPr>
      </w:pPr>
      <w:r>
        <w:rPr>
          <w:b/>
          <w:bCs/>
          <w:color w:val="1A1A1A"/>
        </w:rPr>
        <w:t xml:space="preserve">Une maîtrise réglementaire régionale : </w:t>
      </w:r>
      <w:r>
        <w:t xml:space="preserve">des feuilles de route GRC modulaires couvrant DORA/NIS2 en Europe et la NDPA/POPIA/loi kenyane sur la protection des données en Afrique, positionnant le cabinet en avance sur des acteurs établis dont les pratiques de conformité restent centrées sur l'Amérique du Nord et l'UE.</w:t>
      </w:r>
    </w:p>
    <w:p>
      <w:r>
        <w:br w:type="page"/>
      </w:r>
    </w:p>
    <w:p>
      <w:pPr>
        <w:pStyle w:val="Heading1"/>
      </w:pPr>
      <w:r>
        <w:t xml:space="preserve">6. Marketing, stratégie de mise sur le marché (GTM) et leadership technique</w:t>
      </w:r>
    </w:p>
    <w:p>
      <w:pPr>
        <w:pStyle w:val="Heading2"/>
      </w:pPr>
      <w:r>
        <w:t xml:space="preserve">6.1 Stratégie de vente B2B</w:t>
      </w:r>
    </w:p>
    <w:p>
      <w:r>
        <w:t xml:space="preserve">Vendre la sécurité à des dirigeants techniques exige de parler le langage de la vitesse de déploiement et du retour ajusté au risque, et non celui de la peur ou des listes de vérification de conformité.</w:t>
      </w:r>
    </w:p>
    <w:tbl>
      <w:tblPr>
        <w:tblW w:type="dxa" w:w="9360"/>
        <w:tblBorders>
          <w:top w:val="single" w:color="D4D4D4" w:sz="2"/>
          <w:left w:val="single" w:color="D4D4D4" w:sz="2"/>
          <w:bottom w:val="single" w:color="D4D4D4" w:sz="2"/>
          <w:right w:val="single" w:color="D4D4D4" w:sz="2"/>
          <w:insideH w:val="single" w:color="D4D4D4" w:sz="2"/>
          <w:insideV w:val="single" w:color="D4D4D4" w:sz="2"/>
        </w:tblBorders>
      </w:tblPr>
      <w:tblGrid>
        <w:gridCol w:w="2000"/>
        <w:gridCol w:w="3000"/>
        <w:gridCol w:w="4360"/>
      </w:tblGrid>
      <w:tr>
        <w:trPr>
          <w:tblHeader/>
        </w:trPr>
        <w:tc>
          <w:tcPr>
            <w:tcW w:type="dxa" w:w="2000"/>
            <w:shd w:fill="1A1A1A" w:val="clear"/>
            <w:tcMar>
              <w:top w:type="dxa" w:w="100"/>
              <w:left w:type="dxa" w:w="140"/>
              <w:bottom w:type="dxa" w:w="100"/>
              <w:right w:type="dxa" w:w="140"/>
            </w:tcMar>
            <w:vAlign w:val="center"/>
          </w:tcPr>
          <w:p>
            <w:r>
              <w:rPr>
                <w:b/>
                <w:bCs/>
                <w:color w:val="FFFFFF"/>
                <w:sz w:val="20"/>
                <w:szCs w:val="20"/>
              </w:rPr>
              <w:t xml:space="preserve">Profil</w:t>
            </w:r>
          </w:p>
        </w:tc>
        <w:tc>
          <w:tcPr>
            <w:tcW w:type="dxa" w:w="3000"/>
            <w:shd w:fill="1A1A1A" w:val="clear"/>
            <w:tcMar>
              <w:top w:type="dxa" w:w="100"/>
              <w:left w:type="dxa" w:w="140"/>
              <w:bottom w:type="dxa" w:w="100"/>
              <w:right w:type="dxa" w:w="140"/>
            </w:tcMar>
            <w:vAlign w:val="center"/>
          </w:tcPr>
          <w:p>
            <w:r>
              <w:rPr>
                <w:b/>
                <w:bCs/>
                <w:color w:val="FFFFFF"/>
                <w:sz w:val="20"/>
                <w:szCs w:val="20"/>
              </w:rPr>
              <w:t xml:space="preserve">Préoccupation principale</w:t>
            </w:r>
          </w:p>
        </w:tc>
        <w:tc>
          <w:tcPr>
            <w:tcW w:type="dxa" w:w="4360"/>
            <w:shd w:fill="1A1A1A" w:val="clear"/>
            <w:tcMar>
              <w:top w:type="dxa" w:w="100"/>
              <w:left w:type="dxa" w:w="140"/>
              <w:bottom w:type="dxa" w:w="100"/>
              <w:right w:type="dxa" w:w="140"/>
            </w:tcMar>
            <w:vAlign w:val="center"/>
          </w:tcPr>
          <w:p>
            <w:r>
              <w:rPr>
                <w:b/>
                <w:bCs/>
                <w:color w:val="FFFFFF"/>
                <w:sz w:val="20"/>
                <w:szCs w:val="20"/>
              </w:rPr>
              <w:t xml:space="preserve">Angle de message</w:t>
            </w:r>
          </w:p>
        </w:tc>
      </w:tr>
      <w:tr>
        <w:tc>
          <w:tcPr>
            <w:tcW w:type="dxa" w:w="2000"/>
            <w:shd w:fill="FFFFFF" w:val="clear"/>
            <w:tcMar>
              <w:top w:type="dxa" w:w="100"/>
              <w:left w:type="dxa" w:w="140"/>
              <w:bottom w:type="dxa" w:w="100"/>
              <w:right w:type="dxa" w:w="140"/>
            </w:tcMar>
            <w:vAlign w:val="center"/>
          </w:tcPr>
          <w:p>
            <w:r>
              <w:rPr>
                <w:b w:val="false"/>
                <w:bCs w:val="false"/>
                <w:color w:val="2B2B2B"/>
                <w:sz w:val="20"/>
                <w:szCs w:val="20"/>
              </w:rPr>
              <w:t xml:space="preserve">Directeur technique (CTO)</w:t>
            </w:r>
          </w:p>
        </w:tc>
        <w:tc>
          <w:tcPr>
            <w:tcW w:type="dxa" w:w="3000"/>
            <w:shd w:fill="FFFFFF" w:val="clear"/>
            <w:tcMar>
              <w:top w:type="dxa" w:w="100"/>
              <w:left w:type="dxa" w:w="140"/>
              <w:bottom w:type="dxa" w:w="100"/>
              <w:right w:type="dxa" w:w="140"/>
            </w:tcMar>
            <w:vAlign w:val="center"/>
          </w:tcPr>
          <w:p>
            <w:r>
              <w:rPr>
                <w:b w:val="false"/>
                <w:bCs w:val="false"/>
                <w:color w:val="2B2B2B"/>
                <w:sz w:val="20"/>
                <w:szCs w:val="20"/>
              </w:rPr>
              <w:t xml:space="preserve">Vitesse de livraison, dette technique</w:t>
            </w:r>
          </w:p>
        </w:tc>
        <w:tc>
          <w:tcPr>
            <w:tcW w:type="dxa" w:w="4360"/>
            <w:shd w:fill="FFFFFF" w:val="clear"/>
            <w:tcMar>
              <w:top w:type="dxa" w:w="100"/>
              <w:left w:type="dxa" w:w="140"/>
              <w:bottom w:type="dxa" w:w="100"/>
              <w:right w:type="dxa" w:w="140"/>
            </w:tcMar>
            <w:vAlign w:val="center"/>
          </w:tcPr>
          <w:p>
            <w:r>
              <w:rPr>
                <w:b w:val="false"/>
                <w:bCs w:val="false"/>
                <w:color w:val="2B2B2B"/>
                <w:sz w:val="20"/>
                <w:szCs w:val="20"/>
              </w:rPr>
              <w:t xml:space="preserve">« Nous réduisons le délai moyen de correction sans ajouter de friction au pipeline. »</w:t>
            </w:r>
          </w:p>
        </w:tc>
      </w:tr>
      <w:tr>
        <w:tc>
          <w:tcPr>
            <w:tcW w:type="dxa" w:w="2000"/>
            <w:shd w:fill="E9E9E9" w:val="clear"/>
            <w:tcMar>
              <w:top w:type="dxa" w:w="100"/>
              <w:left w:type="dxa" w:w="140"/>
              <w:bottom w:type="dxa" w:w="100"/>
              <w:right w:type="dxa" w:w="140"/>
            </w:tcMar>
            <w:vAlign w:val="center"/>
          </w:tcPr>
          <w:p>
            <w:r>
              <w:rPr>
                <w:b w:val="false"/>
                <w:bCs w:val="false"/>
                <w:color w:val="2B2B2B"/>
                <w:sz w:val="20"/>
                <w:szCs w:val="20"/>
              </w:rPr>
              <w:t xml:space="preserve">VP Ingénierie</w:t>
            </w:r>
          </w:p>
        </w:tc>
        <w:tc>
          <w:tcPr>
            <w:tcW w:type="dxa" w:w="3000"/>
            <w:shd w:fill="E9E9E9" w:val="clear"/>
            <w:tcMar>
              <w:top w:type="dxa" w:w="100"/>
              <w:left w:type="dxa" w:w="140"/>
              <w:bottom w:type="dxa" w:w="100"/>
              <w:right w:type="dxa" w:w="140"/>
            </w:tcMar>
            <w:vAlign w:val="center"/>
          </w:tcPr>
          <w:p>
            <w:r>
              <w:rPr>
                <w:b w:val="false"/>
                <w:bCs w:val="false"/>
                <w:color w:val="2B2B2B"/>
                <w:sz w:val="20"/>
                <w:szCs w:val="20"/>
              </w:rPr>
              <w:t xml:space="preserve">Expérience développeur, productivité des équipes</w:t>
            </w:r>
          </w:p>
        </w:tc>
        <w:tc>
          <w:tcPr>
            <w:tcW w:type="dxa" w:w="4360"/>
            <w:shd w:fill="E9E9E9" w:val="clear"/>
            <w:tcMar>
              <w:top w:type="dxa" w:w="100"/>
              <w:left w:type="dxa" w:w="140"/>
              <w:bottom w:type="dxa" w:w="100"/>
              <w:right w:type="dxa" w:w="140"/>
            </w:tcMar>
            <w:vAlign w:val="center"/>
          </w:tcPr>
          <w:p>
            <w:r>
              <w:rPr>
                <w:b w:val="false"/>
                <w:bCs w:val="false"/>
                <w:color w:val="2B2B2B"/>
                <w:sz w:val="20"/>
                <w:szCs w:val="20"/>
              </w:rPr>
              <w:t xml:space="preserve">« Les constats de sécurité arrivent sous forme de pull requests, pas de PDF. »</w:t>
            </w:r>
          </w:p>
        </w:tc>
      </w:tr>
      <w:tr>
        <w:tc>
          <w:tcPr>
            <w:tcW w:type="dxa" w:w="2000"/>
            <w:shd w:fill="FFFFFF" w:val="clear"/>
            <w:tcMar>
              <w:top w:type="dxa" w:w="100"/>
              <w:left w:type="dxa" w:w="140"/>
              <w:bottom w:type="dxa" w:w="100"/>
              <w:right w:type="dxa" w:w="140"/>
            </w:tcMar>
            <w:vAlign w:val="center"/>
          </w:tcPr>
          <w:p>
            <w:r>
              <w:rPr>
                <w:b w:val="false"/>
                <w:bCs w:val="false"/>
                <w:color w:val="2B2B2B"/>
                <w:sz w:val="20"/>
                <w:szCs w:val="20"/>
              </w:rPr>
              <w:t xml:space="preserve">RSSI (CISO)</w:t>
            </w:r>
          </w:p>
        </w:tc>
        <w:tc>
          <w:tcPr>
            <w:tcW w:type="dxa" w:w="3000"/>
            <w:shd w:fill="FFFFFF" w:val="clear"/>
            <w:tcMar>
              <w:top w:type="dxa" w:w="100"/>
              <w:left w:type="dxa" w:w="140"/>
              <w:bottom w:type="dxa" w:w="100"/>
              <w:right w:type="dxa" w:w="140"/>
            </w:tcMar>
            <w:vAlign w:val="center"/>
          </w:tcPr>
          <w:p>
            <w:r>
              <w:rPr>
                <w:b w:val="false"/>
                <w:bCs w:val="false"/>
                <w:color w:val="2B2B2B"/>
                <w:sz w:val="20"/>
                <w:szCs w:val="20"/>
              </w:rPr>
              <w:t xml:space="preserve">Préparation aux audits, reporting du risque au conseil</w:t>
            </w:r>
          </w:p>
        </w:tc>
        <w:tc>
          <w:tcPr>
            <w:tcW w:type="dxa" w:w="4360"/>
            <w:shd w:fill="FFFFFF" w:val="clear"/>
            <w:tcMar>
              <w:top w:type="dxa" w:w="100"/>
              <w:left w:type="dxa" w:w="140"/>
              <w:bottom w:type="dxa" w:w="100"/>
              <w:right w:type="dxa" w:w="140"/>
            </w:tcMar>
            <w:vAlign w:val="center"/>
          </w:tcPr>
          <w:p>
            <w:r>
              <w:rPr>
                <w:b w:val="false"/>
                <w:bCs w:val="false"/>
                <w:color w:val="2B2B2B"/>
                <w:sz w:val="20"/>
                <w:szCs w:val="20"/>
              </w:rPr>
              <w:t xml:space="preserve">« Une conformité continue, documentée par des preuves — pas un exercice annuel dans l'urgence. »</w:t>
            </w:r>
          </w:p>
        </w:tc>
      </w:tr>
    </w:tbl>
    <w:p>
      <w:pPr>
        <w:pStyle w:val="ListParagraph"/>
        <w:numPr>
          <w:ilvl w:val="0"/>
          <w:numId w:val="2"/>
        </w:numPr>
      </w:pPr>
      <w:r>
        <w:rPr>
          <w:b/>
          <w:bCs/>
          <w:color w:val="1A1A1A"/>
        </w:rPr>
        <w:t xml:space="preserve">Stratégie « land-and-expand » : </w:t>
      </w:r>
      <w:r>
        <w:t xml:space="preserve">démarrer par un projet pilote ciblé d'AppSec ou de DevSecOps sur un dépôt ou un pipeline unique, puis étendre la couverture à l'ensemble de la plateforme.</w:t>
      </w:r>
    </w:p>
    <w:p>
      <w:pPr>
        <w:pStyle w:val="ListParagraph"/>
        <w:numPr>
          <w:ilvl w:val="0"/>
          <w:numId w:val="2"/>
        </w:numPr>
      </w:pPr>
      <w:r>
        <w:rPr>
          <w:b/>
          <w:bCs/>
          <w:color w:val="1A1A1A"/>
        </w:rPr>
        <w:t xml:space="preserve">Démonstration technique de valeur : </w:t>
      </w:r>
      <w:r>
        <w:t xml:space="preserve">une analyse SAST/SCA gratuite ou à faible coût d'une API publique, livrée avec un correctif fonctionnel sous forme de pull request, illustrant dès la première semaine la philosophie « corriger, pas seulement signaler ».</w:t>
      </w:r>
    </w:p>
    <w:p>
      <w:pPr>
        <w:pStyle w:val="ListParagraph"/>
        <w:numPr>
          <w:ilvl w:val="0"/>
          <w:numId w:val="2"/>
        </w:numPr>
      </w:pPr>
      <w:r>
        <w:rPr>
          <w:b/>
          <w:bCs/>
          <w:color w:val="1A1A1A"/>
        </w:rPr>
        <w:t xml:space="preserve">Marketing basé sur les comptes cibles : </w:t>
      </w:r>
      <w:r>
        <w:t xml:space="preserve">ciblé sur les dirigeants d'ingénierie fintech de Série A à C et les directions de transformation technologique des banques, dans les trois régions d'opération.</w:t>
      </w:r>
    </w:p>
    <w:p>
      <w:pPr>
        <w:pStyle w:val="ListParagraph"/>
        <w:numPr>
          <w:ilvl w:val="0"/>
          <w:numId w:val="2"/>
        </w:numPr>
      </w:pPr>
      <w:r>
        <w:rPr>
          <w:b/>
          <w:bCs/>
          <w:color w:val="1A1A1A"/>
        </w:rPr>
        <w:t xml:space="preserve">Partenariats de distribution via les marketplaces : </w:t>
      </w:r>
      <w:r>
        <w:t xml:space="preserve">des référencements sur AWS Marketplace et Azure Marketplace pour raccourcir les cycles d'achat des acteurs réglementés.</w:t>
      </w:r>
    </w:p>
    <w:p>
      <w:pPr>
        <w:pStyle w:val="ListParagraph"/>
        <w:numPr>
          <w:ilvl w:val="0"/>
          <w:numId w:val="2"/>
        </w:numPr>
      </w:pPr>
      <w:r>
        <w:rPr>
          <w:b/>
          <w:bCs/>
          <w:color w:val="1A1A1A"/>
        </w:rPr>
        <w:t xml:space="preserve">Effet d'entraînement des références clients : </w:t>
      </w:r>
      <w:r>
        <w:t xml:space="preserve">des études de cas anonymisées quantifiant la réduction du MTTR et le temps de préparation d'audit économisé, utilisées en phase finale de vente.</w:t>
      </w:r>
    </w:p>
    <w:p>
      <w:pPr>
        <w:pStyle w:val="Heading2"/>
      </w:pPr>
      <w:r>
        <w:t xml:space="preserve">6.2 Leadership intellectuel</w:t>
      </w:r>
    </w:p>
    <w:p>
      <w:pPr>
        <w:pStyle w:val="ListParagraph"/>
        <w:numPr>
          <w:ilvl w:val="0"/>
          <w:numId w:val="2"/>
        </w:numPr>
      </w:pPr>
      <w:r>
        <w:rPr>
          <w:b/>
          <w:bCs/>
          <w:color w:val="1A1A1A"/>
        </w:rPr>
        <w:t xml:space="preserve">Outillage open source : </w:t>
      </w:r>
      <w:r>
        <w:t xml:space="preserve">publication et maintenance de packs de règles Semgrep personnalisés pour la logique transactionnelle fintech et d'un analyseur statique de smart contracts DeFi, sous l'organisation GitHub de l'entreprise.</w:t>
      </w:r>
    </w:p>
    <w:p>
      <w:pPr>
        <w:pStyle w:val="ListParagraph"/>
        <w:numPr>
          <w:ilvl w:val="0"/>
          <w:numId w:val="2"/>
        </w:numPr>
      </w:pPr>
      <w:r>
        <w:rPr>
          <w:b/>
          <w:bCs/>
          <w:color w:val="1A1A1A"/>
        </w:rPr>
        <w:t xml:space="preserve">Contenu technique porté par le fondateur : </w:t>
      </w:r>
      <w:r>
        <w:t xml:space="preserve">une série de billets traduisant des schémas réels de correction, anonymisés, en contenus destinés aux ingénieurs.</w:t>
      </w:r>
    </w:p>
    <w:p>
      <w:pPr>
        <w:pStyle w:val="ListParagraph"/>
        <w:numPr>
          <w:ilvl w:val="0"/>
          <w:numId w:val="2"/>
        </w:numPr>
      </w:pPr>
      <w:r>
        <w:rPr>
          <w:b/>
          <w:bCs/>
          <w:color w:val="1A1A1A"/>
        </w:rPr>
        <w:t xml:space="preserve">Formation des développeurs à la sécurité : </w:t>
      </w:r>
      <w:r>
        <w:t xml:space="preserve">des ateliers dispensés directement aux équipes d'ingénierie clientes, alimentant les programmes internes de « champions sécurité ».</w:t>
      </w:r>
    </w:p>
    <w:p>
      <w:pPr>
        <w:pStyle w:val="ListParagraph"/>
        <w:numPr>
          <w:ilvl w:val="0"/>
          <w:numId w:val="2"/>
        </w:numPr>
      </w:pPr>
      <w:r>
        <w:rPr>
          <w:b/>
          <w:bCs/>
          <w:color w:val="1A1A1A"/>
        </w:rPr>
        <w:t xml:space="preserve">Présence en conférences : </w:t>
      </w:r>
      <w:r>
        <w:t xml:space="preserve">des événements axés développeurs comme KubeCon et DEF CON AppSec Village, ainsi que des événements fintech tels que Money20/20 et Sibos, complétés par des événements régionaux en Europe et en Afrique.</w:t>
      </w:r>
    </w:p>
    <w:p>
      <w:pPr>
        <w:pStyle w:val="ListParagraph"/>
        <w:numPr>
          <w:ilvl w:val="0"/>
          <w:numId w:val="2"/>
        </w:numPr>
      </w:pPr>
      <w:r>
        <w:rPr>
          <w:b/>
          <w:bCs/>
          <w:color w:val="1A1A1A"/>
        </w:rPr>
        <w:t xml:space="preserve">Rapport annuel de référence : </w:t>
      </w:r>
      <w:r>
        <w:t xml:space="preserve">un rapport « État de l'AppSec fintech » synthétisant les constats anonymisés de l'ensemble du portefeuille clients.</w:t>
      </w:r>
    </w:p>
    <w:p>
      <w:pPr>
        <w:pStyle w:val="ListParagraph"/>
        <w:numPr>
          <w:ilvl w:val="0"/>
          <w:numId w:val="2"/>
        </w:numPr>
      </w:pPr>
      <w:r>
        <w:rPr>
          <w:b/>
          <w:bCs/>
          <w:color w:val="1A1A1A"/>
        </w:rPr>
        <w:t xml:space="preserve">Défis Capture-the-Flag : </w:t>
      </w:r>
      <w:r>
        <w:t xml:space="preserve">des CTF construits sur des classes réelles de vulnérabilités fintech, utilisés à la fois pour l'engagement communautaire et le recrutement technique.</w:t>
      </w:r>
    </w:p>
    <w:p>
      <w:r>
        <w:br w:type="page"/>
      </w:r>
    </w:p>
    <w:p>
      <w:pPr>
        <w:pStyle w:val="Heading1"/>
      </w:pPr>
      <w:r>
        <w:t xml:space="preserve">7. Pile technologique opérationnelle et profil de l'architecte</w:t>
      </w:r>
    </w:p>
    <w:p>
      <w:pPr>
        <w:pStyle w:val="Heading2"/>
      </w:pPr>
      <w:r>
        <w:t xml:space="preserve">7.1 Pile technologique axée sur l'ingénierie</w:t>
      </w:r>
    </w:p>
    <w:p>
      <w:r>
        <w:t xml:space="preserve">Le choix des outils privilégie les plateformes natives pour les développeurs et intégrables au pipeline, plutôt que des outils centrés sur un portail et limités au reporting.</w:t>
      </w:r>
    </w:p>
    <w:tbl>
      <w:tblPr>
        <w:tblW w:type="dxa" w:w="9360"/>
        <w:tblBorders>
          <w:top w:val="single" w:color="D4D4D4" w:sz="2"/>
          <w:left w:val="single" w:color="D4D4D4" w:sz="2"/>
          <w:bottom w:val="single" w:color="D4D4D4" w:sz="2"/>
          <w:right w:val="single" w:color="D4D4D4" w:sz="2"/>
          <w:insideH w:val="single" w:color="D4D4D4" w:sz="2"/>
          <w:insideV w:val="single" w:color="D4D4D4" w:sz="2"/>
        </w:tblBorders>
      </w:tblPr>
      <w:tblGrid>
        <w:gridCol w:w="3000"/>
        <w:gridCol w:w="6360"/>
      </w:tblGrid>
      <w:tr>
        <w:trPr>
          <w:tblHeader/>
        </w:trPr>
        <w:tc>
          <w:tcPr>
            <w:tcW w:type="dxa" w:w="3000"/>
            <w:shd w:fill="1A1A1A" w:val="clear"/>
            <w:tcMar>
              <w:top w:type="dxa" w:w="100"/>
              <w:left w:type="dxa" w:w="140"/>
              <w:bottom w:type="dxa" w:w="100"/>
              <w:right w:type="dxa" w:w="140"/>
            </w:tcMar>
            <w:vAlign w:val="center"/>
          </w:tcPr>
          <w:p>
            <w:r>
              <w:rPr>
                <w:b/>
                <w:bCs/>
                <w:color w:val="FFFFFF"/>
                <w:sz w:val="20"/>
                <w:szCs w:val="20"/>
              </w:rPr>
              <w:t xml:space="preserve">Catégorie</w:t>
            </w:r>
          </w:p>
        </w:tc>
        <w:tc>
          <w:tcPr>
            <w:tcW w:type="dxa" w:w="6360"/>
            <w:shd w:fill="1A1A1A" w:val="clear"/>
            <w:tcMar>
              <w:top w:type="dxa" w:w="100"/>
              <w:left w:type="dxa" w:w="140"/>
              <w:bottom w:type="dxa" w:w="100"/>
              <w:right w:type="dxa" w:w="140"/>
            </w:tcMar>
            <w:vAlign w:val="center"/>
          </w:tcPr>
          <w:p>
            <w:r>
              <w:rPr>
                <w:b/>
                <w:bCs/>
                <w:color w:val="FFFFFF"/>
                <w:sz w:val="20"/>
                <w:szCs w:val="20"/>
              </w:rPr>
              <w:t xml:space="preserve">Outils représentatifs</w:t>
            </w:r>
          </w:p>
        </w:tc>
      </w:tr>
      <w:tr>
        <w:tc>
          <w:tcPr>
            <w:tcW w:type="dxa" w:w="3000"/>
            <w:shd w:fill="FFFFFF" w:val="clear"/>
            <w:tcMar>
              <w:top w:type="dxa" w:w="100"/>
              <w:left w:type="dxa" w:w="140"/>
              <w:bottom w:type="dxa" w:w="100"/>
              <w:right w:type="dxa" w:w="140"/>
            </w:tcMar>
            <w:vAlign w:val="center"/>
          </w:tcPr>
          <w:p>
            <w:r>
              <w:rPr>
                <w:b w:val="false"/>
                <w:bCs w:val="false"/>
                <w:color w:val="2B2B2B"/>
                <w:sz w:val="20"/>
                <w:szCs w:val="20"/>
              </w:rPr>
              <w:t xml:space="preserve">Analyse statique du code (SAST)</w:t>
            </w:r>
          </w:p>
        </w:tc>
        <w:tc>
          <w:tcPr>
            <w:tcW w:type="dxa" w:w="6360"/>
            <w:shd w:fill="FFFFFF" w:val="clear"/>
            <w:tcMar>
              <w:top w:type="dxa" w:w="100"/>
              <w:left w:type="dxa" w:w="140"/>
              <w:bottom w:type="dxa" w:w="100"/>
              <w:right w:type="dxa" w:w="140"/>
            </w:tcMar>
            <w:vAlign w:val="center"/>
          </w:tcPr>
          <w:p>
            <w:r>
              <w:rPr>
                <w:b w:val="false"/>
                <w:bCs w:val="false"/>
                <w:color w:val="2B2B2B"/>
                <w:sz w:val="20"/>
                <w:szCs w:val="20"/>
              </w:rPr>
              <w:t xml:space="preserve">Semgrep, SonarQube, Checkmarx, CodeQL</w:t>
            </w:r>
          </w:p>
        </w:tc>
      </w:tr>
      <w:tr>
        <w:tc>
          <w:tcPr>
            <w:tcW w:type="dxa" w:w="3000"/>
            <w:shd w:fill="E9E9E9" w:val="clear"/>
            <w:tcMar>
              <w:top w:type="dxa" w:w="100"/>
              <w:left w:type="dxa" w:w="140"/>
              <w:bottom w:type="dxa" w:w="100"/>
              <w:right w:type="dxa" w:w="140"/>
            </w:tcMar>
            <w:vAlign w:val="center"/>
          </w:tcPr>
          <w:p>
            <w:r>
              <w:rPr>
                <w:b w:val="false"/>
                <w:bCs w:val="false"/>
                <w:color w:val="2B2B2B"/>
                <w:sz w:val="20"/>
                <w:szCs w:val="20"/>
              </w:rPr>
              <w:t xml:space="preserve">Analyse de composition logicielle (SCA)</w:t>
            </w:r>
          </w:p>
        </w:tc>
        <w:tc>
          <w:tcPr>
            <w:tcW w:type="dxa" w:w="6360"/>
            <w:shd w:fill="E9E9E9" w:val="clear"/>
            <w:tcMar>
              <w:top w:type="dxa" w:w="100"/>
              <w:left w:type="dxa" w:w="140"/>
              <w:bottom w:type="dxa" w:w="100"/>
              <w:right w:type="dxa" w:w="140"/>
            </w:tcMar>
            <w:vAlign w:val="center"/>
          </w:tcPr>
          <w:p>
            <w:r>
              <w:rPr>
                <w:b w:val="false"/>
                <w:bCs w:val="false"/>
                <w:color w:val="2B2B2B"/>
                <w:sz w:val="20"/>
                <w:szCs w:val="20"/>
              </w:rPr>
              <w:t xml:space="preserve">Snyk, Black Duck Software, OWASP Dependency-Track</w:t>
            </w:r>
          </w:p>
        </w:tc>
      </w:tr>
      <w:tr>
        <w:tc>
          <w:tcPr>
            <w:tcW w:type="dxa" w:w="3000"/>
            <w:shd w:fill="FFFFFF" w:val="clear"/>
            <w:tcMar>
              <w:top w:type="dxa" w:w="100"/>
              <w:left w:type="dxa" w:w="140"/>
              <w:bottom w:type="dxa" w:w="100"/>
              <w:right w:type="dxa" w:w="140"/>
            </w:tcMar>
            <w:vAlign w:val="center"/>
          </w:tcPr>
          <w:p>
            <w:r>
              <w:rPr>
                <w:b w:val="false"/>
                <w:bCs w:val="false"/>
                <w:color w:val="2B2B2B"/>
                <w:sz w:val="20"/>
                <w:szCs w:val="20"/>
              </w:rPr>
              <w:t xml:space="preserve">Tests dynamiques et API (DAST)</w:t>
            </w:r>
          </w:p>
        </w:tc>
        <w:tc>
          <w:tcPr>
            <w:tcW w:type="dxa" w:w="6360"/>
            <w:shd w:fill="FFFFFF" w:val="clear"/>
            <w:tcMar>
              <w:top w:type="dxa" w:w="100"/>
              <w:left w:type="dxa" w:w="140"/>
              <w:bottom w:type="dxa" w:w="100"/>
              <w:right w:type="dxa" w:w="140"/>
            </w:tcMar>
            <w:vAlign w:val="center"/>
          </w:tcPr>
          <w:p>
            <w:r>
              <w:rPr>
                <w:b w:val="false"/>
                <w:bCs w:val="false"/>
                <w:color w:val="2B2B2B"/>
                <w:sz w:val="20"/>
                <w:szCs w:val="20"/>
              </w:rPr>
              <w:t xml:space="preserve">Burp Suite Enterprise, OWASP ZAP, suites de sécurité Postman/Newman</w:t>
            </w:r>
          </w:p>
        </w:tc>
      </w:tr>
      <w:tr>
        <w:tc>
          <w:tcPr>
            <w:tcW w:type="dxa" w:w="3000"/>
            <w:shd w:fill="E9E9E9" w:val="clear"/>
            <w:tcMar>
              <w:top w:type="dxa" w:w="100"/>
              <w:left w:type="dxa" w:w="140"/>
              <w:bottom w:type="dxa" w:w="100"/>
              <w:right w:type="dxa" w:w="140"/>
            </w:tcMar>
            <w:vAlign w:val="center"/>
          </w:tcPr>
          <w:p>
            <w:r>
              <w:rPr>
                <w:b w:val="false"/>
                <w:bCs w:val="false"/>
                <w:color w:val="2B2B2B"/>
                <w:sz w:val="20"/>
                <w:szCs w:val="20"/>
              </w:rPr>
              <w:t xml:space="preserve">Sécurité cloud-native et conteneurs</w:t>
            </w:r>
          </w:p>
        </w:tc>
        <w:tc>
          <w:tcPr>
            <w:tcW w:type="dxa" w:w="6360"/>
            <w:shd w:fill="E9E9E9" w:val="clear"/>
            <w:tcMar>
              <w:top w:type="dxa" w:w="100"/>
              <w:left w:type="dxa" w:w="140"/>
              <w:bottom w:type="dxa" w:w="100"/>
              <w:right w:type="dxa" w:w="140"/>
            </w:tcMar>
            <w:vAlign w:val="center"/>
          </w:tcPr>
          <w:p>
            <w:r>
              <w:rPr>
                <w:b w:val="false"/>
                <w:bCs w:val="false"/>
                <w:color w:val="2B2B2B"/>
                <w:sz w:val="20"/>
                <w:szCs w:val="20"/>
              </w:rPr>
              <w:t xml:space="preserve">Aqua Security, Wiz, Trivy, Kubescape, Falco</w:t>
            </w:r>
          </w:p>
        </w:tc>
      </w:tr>
      <w:tr>
        <w:tc>
          <w:tcPr>
            <w:tcW w:type="dxa" w:w="3000"/>
            <w:shd w:fill="FFFFFF" w:val="clear"/>
            <w:tcMar>
              <w:top w:type="dxa" w:w="100"/>
              <w:left w:type="dxa" w:w="140"/>
              <w:bottom w:type="dxa" w:w="100"/>
              <w:right w:type="dxa" w:w="140"/>
            </w:tcMar>
            <w:vAlign w:val="center"/>
          </w:tcPr>
          <w:p>
            <w:r>
              <w:rPr>
                <w:b w:val="false"/>
                <w:bCs w:val="false"/>
                <w:color w:val="2B2B2B"/>
                <w:sz w:val="20"/>
                <w:szCs w:val="20"/>
              </w:rPr>
              <w:t xml:space="preserve">Secrets et intégrité de la chaîne d'approvisionnement</w:t>
            </w:r>
          </w:p>
        </w:tc>
        <w:tc>
          <w:tcPr>
            <w:tcW w:type="dxa" w:w="6360"/>
            <w:shd w:fill="FFFFFF" w:val="clear"/>
            <w:tcMar>
              <w:top w:type="dxa" w:w="100"/>
              <w:left w:type="dxa" w:w="140"/>
              <w:bottom w:type="dxa" w:w="100"/>
              <w:right w:type="dxa" w:w="140"/>
            </w:tcMar>
            <w:vAlign w:val="center"/>
          </w:tcPr>
          <w:p>
            <w:r>
              <w:rPr>
                <w:b w:val="false"/>
                <w:bCs w:val="false"/>
                <w:color w:val="2B2B2B"/>
                <w:sz w:val="20"/>
                <w:szCs w:val="20"/>
              </w:rPr>
              <w:t xml:space="preserve">HashiCorp Vault, GitGuardian, Sigstore/Cosign, in-toto</w:t>
            </w:r>
          </w:p>
        </w:tc>
      </w:tr>
      <w:tr>
        <w:tc>
          <w:tcPr>
            <w:tcW w:type="dxa" w:w="3000"/>
            <w:shd w:fill="E9E9E9" w:val="clear"/>
            <w:tcMar>
              <w:top w:type="dxa" w:w="100"/>
              <w:left w:type="dxa" w:w="140"/>
              <w:bottom w:type="dxa" w:w="100"/>
              <w:right w:type="dxa" w:w="140"/>
            </w:tcMar>
            <w:vAlign w:val="center"/>
          </w:tcPr>
          <w:p>
            <w:r>
              <w:rPr>
                <w:b w:val="false"/>
                <w:bCs w:val="false"/>
                <w:color w:val="2B2B2B"/>
                <w:sz w:val="20"/>
                <w:szCs w:val="20"/>
              </w:rPr>
              <w:t xml:space="preserve">Analyse de l'infrastructure-as-code</w:t>
            </w:r>
          </w:p>
        </w:tc>
        <w:tc>
          <w:tcPr>
            <w:tcW w:type="dxa" w:w="6360"/>
            <w:shd w:fill="E9E9E9" w:val="clear"/>
            <w:tcMar>
              <w:top w:type="dxa" w:w="100"/>
              <w:left w:type="dxa" w:w="140"/>
              <w:bottom w:type="dxa" w:w="100"/>
              <w:right w:type="dxa" w:w="140"/>
            </w:tcMar>
            <w:vAlign w:val="center"/>
          </w:tcPr>
          <w:p>
            <w:r>
              <w:rPr>
                <w:b w:val="false"/>
                <w:bCs w:val="false"/>
                <w:color w:val="2B2B2B"/>
                <w:sz w:val="20"/>
                <w:szCs w:val="20"/>
              </w:rPr>
              <w:t xml:space="preserve">Checkov, tfsec, Terrascan</w:t>
            </w:r>
          </w:p>
        </w:tc>
      </w:tr>
      <w:tr>
        <w:tc>
          <w:tcPr>
            <w:tcW w:type="dxa" w:w="3000"/>
            <w:shd w:fill="FFFFFF" w:val="clear"/>
            <w:tcMar>
              <w:top w:type="dxa" w:w="100"/>
              <w:left w:type="dxa" w:w="140"/>
              <w:bottom w:type="dxa" w:w="100"/>
              <w:right w:type="dxa" w:w="140"/>
            </w:tcMar>
            <w:vAlign w:val="center"/>
          </w:tcPr>
          <w:p>
            <w:r>
              <w:rPr>
                <w:b w:val="false"/>
                <w:bCs w:val="false"/>
                <w:color w:val="2B2B2B"/>
                <w:sz w:val="20"/>
                <w:szCs w:val="20"/>
              </w:rPr>
              <w:t xml:space="preserve">Automatisation GRC et conformité</w:t>
            </w:r>
          </w:p>
        </w:tc>
        <w:tc>
          <w:tcPr>
            <w:tcW w:type="dxa" w:w="6360"/>
            <w:shd w:fill="FFFFFF" w:val="clear"/>
            <w:tcMar>
              <w:top w:type="dxa" w:w="100"/>
              <w:left w:type="dxa" w:w="140"/>
              <w:bottom w:type="dxa" w:w="100"/>
              <w:right w:type="dxa" w:w="140"/>
            </w:tcMar>
            <w:vAlign w:val="center"/>
          </w:tcPr>
          <w:p>
            <w:r>
              <w:rPr>
                <w:b w:val="false"/>
                <w:bCs w:val="false"/>
                <w:color w:val="2B2B2B"/>
                <w:sz w:val="20"/>
                <w:szCs w:val="20"/>
              </w:rPr>
              <w:t xml:space="preserve">Vanta, Drata, OneTrust</w:t>
            </w:r>
          </w:p>
        </w:tc>
      </w:tr>
      <w:tr>
        <w:tc>
          <w:tcPr>
            <w:tcW w:type="dxa" w:w="3000"/>
            <w:shd w:fill="E9E9E9" w:val="clear"/>
            <w:tcMar>
              <w:top w:type="dxa" w:w="100"/>
              <w:left w:type="dxa" w:w="140"/>
              <w:bottom w:type="dxa" w:w="100"/>
              <w:right w:type="dxa" w:w="140"/>
            </w:tcMar>
            <w:vAlign w:val="center"/>
          </w:tcPr>
          <w:p>
            <w:r>
              <w:rPr>
                <w:b w:val="false"/>
                <w:bCs w:val="false"/>
                <w:color w:val="2B2B2B"/>
                <w:sz w:val="20"/>
                <w:szCs w:val="20"/>
              </w:rPr>
              <w:t xml:space="preserve">Surveillance continue / vSOC</w:t>
            </w:r>
          </w:p>
        </w:tc>
        <w:tc>
          <w:tcPr>
            <w:tcW w:type="dxa" w:w="6360"/>
            <w:shd w:fill="E9E9E9" w:val="clear"/>
            <w:tcMar>
              <w:top w:type="dxa" w:w="100"/>
              <w:left w:type="dxa" w:w="140"/>
              <w:bottom w:type="dxa" w:w="100"/>
              <w:right w:type="dxa" w:w="140"/>
            </w:tcMar>
            <w:vAlign w:val="center"/>
          </w:tcPr>
          <w:p>
            <w:r>
              <w:rPr>
                <w:b w:val="false"/>
                <w:bCs w:val="false"/>
                <w:color w:val="2B2B2B"/>
                <w:sz w:val="20"/>
                <w:szCs w:val="20"/>
              </w:rPr>
              <w:t xml:space="preserve">Datadog Security Monitoring, Wazuh, Elastic Security</w:t>
            </w:r>
          </w:p>
        </w:tc>
      </w:tr>
      <w:tr>
        <w:tc>
          <w:tcPr>
            <w:tcW w:type="dxa" w:w="3000"/>
            <w:shd w:fill="FFFFFF" w:val="clear"/>
            <w:tcMar>
              <w:top w:type="dxa" w:w="100"/>
              <w:left w:type="dxa" w:w="140"/>
              <w:bottom w:type="dxa" w:w="100"/>
              <w:right w:type="dxa" w:w="140"/>
            </w:tcMar>
            <w:vAlign w:val="center"/>
          </w:tcPr>
          <w:p>
            <w:r>
              <w:rPr>
                <w:b w:val="false"/>
                <w:bCs w:val="false"/>
                <w:color w:val="2B2B2B"/>
                <w:sz w:val="20"/>
                <w:szCs w:val="20"/>
              </w:rPr>
              <w:t xml:space="preserve">Audit de smart contracts</w:t>
            </w:r>
          </w:p>
        </w:tc>
        <w:tc>
          <w:tcPr>
            <w:tcW w:type="dxa" w:w="6360"/>
            <w:shd w:fill="FFFFFF" w:val="clear"/>
            <w:tcMar>
              <w:top w:type="dxa" w:w="100"/>
              <w:left w:type="dxa" w:w="140"/>
              <w:bottom w:type="dxa" w:w="100"/>
              <w:right w:type="dxa" w:w="140"/>
            </w:tcMar>
            <w:vAlign w:val="center"/>
          </w:tcPr>
          <w:p>
            <w:r>
              <w:rPr>
                <w:b w:val="false"/>
                <w:bCs w:val="false"/>
                <w:color w:val="2B2B2B"/>
                <w:sz w:val="20"/>
                <w:szCs w:val="20"/>
              </w:rPr>
              <w:t xml:space="preserve">Slither, MythX, harnais de fuzzing basés sur Foundry</w:t>
            </w:r>
          </w:p>
        </w:tc>
      </w:tr>
      <w:tr>
        <w:tc>
          <w:tcPr>
            <w:tcW w:type="dxa" w:w="3000"/>
            <w:shd w:fill="E9E9E9" w:val="clear"/>
            <w:tcMar>
              <w:top w:type="dxa" w:w="100"/>
              <w:left w:type="dxa" w:w="140"/>
              <w:bottom w:type="dxa" w:w="100"/>
              <w:right w:type="dxa" w:w="140"/>
            </w:tcMar>
            <w:vAlign w:val="center"/>
          </w:tcPr>
          <w:p>
            <w:r>
              <w:rPr>
                <w:b w:val="false"/>
                <w:bCs w:val="false"/>
                <w:color w:val="2B2B2B"/>
                <w:sz w:val="20"/>
                <w:szCs w:val="20"/>
              </w:rPr>
              <w:t xml:space="preserve">Sécurité physique et matériel IoT</w:t>
            </w:r>
          </w:p>
        </w:tc>
        <w:tc>
          <w:tcPr>
            <w:tcW w:type="dxa" w:w="6360"/>
            <w:shd w:fill="E9E9E9" w:val="clear"/>
            <w:tcMar>
              <w:top w:type="dxa" w:w="100"/>
              <w:left w:type="dxa" w:w="140"/>
              <w:bottom w:type="dxa" w:w="100"/>
              <w:right w:type="dxa" w:w="140"/>
            </w:tcMar>
            <w:vAlign w:val="center"/>
          </w:tcPr>
          <w:p>
            <w:r>
              <w:rPr>
                <w:b w:val="false"/>
                <w:bCs w:val="false"/>
                <w:color w:val="2B2B2B"/>
                <w:sz w:val="20"/>
                <w:szCs w:val="20"/>
              </w:rPr>
              <w:t xml:space="preserve">Axis Communications, HID Global, Genetec, Bosch Security Systems</w:t>
            </w:r>
          </w:p>
        </w:tc>
      </w:tr>
    </w:tbl>
    <w:p>
      <w:pPr>
        <w:pStyle w:val="Heading2"/>
      </w:pPr>
      <w:r>
        <w:t xml:space="preserve">7.2 Profil du fondateur et modèle hybride de recrutement « ingénieur sécurité »</w:t>
      </w:r>
    </w:p>
    <w:p>
      <w:r>
        <w:t xml:space="preserve">La transition du fondateur, d'ingénieur logiciel chevronné à dirigeant de la sécurité, constitue le principal atout de crédibilité du cabinet — et le modèle de son recrutement.</w:t>
      </w:r>
    </w:p>
    <w:p>
      <w:pPr>
        <w:pStyle w:val="ListParagraph"/>
        <w:numPr>
          <w:ilvl w:val="0"/>
          <w:numId w:val="2"/>
        </w:numPr>
      </w:pPr>
      <w:r>
        <w:rPr>
          <w:b/>
          <w:bCs/>
          <w:color w:val="1A1A1A"/>
        </w:rPr>
        <w:t xml:space="preserve">Une barre de recrutement centrée sur l'ingénierie : </w:t>
      </w:r>
      <w:r>
        <w:t xml:space="preserve">priorité aux candidats capables de lire et d'écrire du code de niveau production dans au moins un langage backend (Go, Python, Java, Rust), plutôt qu'aux profils issus uniquement de l'audit ou des listes de contrôle.</w:t>
      </w:r>
    </w:p>
    <w:p>
      <w:pPr>
        <w:pStyle w:val="ListParagraph"/>
        <w:numPr>
          <w:ilvl w:val="0"/>
          <w:numId w:val="2"/>
        </w:numPr>
      </w:pPr>
      <w:r>
        <w:rPr>
          <w:b/>
          <w:bCs/>
          <w:color w:val="1A1A1A"/>
        </w:rPr>
        <w:t xml:space="preserve">Une double trajectoire de carrière : </w:t>
      </w:r>
      <w:r>
        <w:t xml:space="preserve">chaque ingénieur sécurité conserve un droit de contribution actif aux pull requests de correction, et non seulement aux rapports de constats.</w:t>
      </w:r>
    </w:p>
    <w:p>
      <w:pPr>
        <w:pStyle w:val="ListParagraph"/>
        <w:numPr>
          <w:ilvl w:val="0"/>
          <w:numId w:val="2"/>
        </w:numPr>
      </w:pPr>
      <w:r>
        <w:rPr>
          <w:b/>
          <w:bCs/>
          <w:color w:val="1A1A1A"/>
        </w:rPr>
        <w:t xml:space="preserve">Des semaines de « build » trimestrielles : </w:t>
      </w:r>
      <w:r>
        <w:t xml:space="preserve">les ingénieurs sécurité livrent un outil interne réel ou une contribution open source chaque trimestre, afin d'entretenir leurs compétences d'ingénierie.</w:t>
      </w:r>
    </w:p>
    <w:p>
      <w:pPr>
        <w:pStyle w:val="ListParagraph"/>
        <w:numPr>
          <w:ilvl w:val="0"/>
          <w:numId w:val="2"/>
        </w:numPr>
      </w:pPr>
      <w:r>
        <w:rPr>
          <w:b/>
          <w:bCs/>
          <w:color w:val="1A1A1A"/>
        </w:rPr>
        <w:t xml:space="preserve">Un modèle de binôme intégré : </w:t>
      </w:r>
      <w:r>
        <w:t xml:space="preserve">chaque mission client affecte un ingénieur sécurité au rythme réel des sprints du client — réunions quotidiennes, revues de code, rétrospectives — plutôt que de jouer le rôle d'auditeur externe.</w:t>
      </w:r>
    </w:p>
    <w:p>
      <w:pPr>
        <w:pStyle w:val="ListParagraph"/>
        <w:numPr>
          <w:ilvl w:val="0"/>
          <w:numId w:val="2"/>
        </w:numPr>
      </w:pPr>
      <w:r>
        <w:rPr>
          <w:b/>
          <w:bCs/>
          <w:color w:val="1A1A1A"/>
        </w:rPr>
        <w:t xml:space="preserve">Une rémunération pondérée par les résultats : </w:t>
      </w:r>
      <w:r>
        <w:t xml:space="preserve">des critères de promotion pondérés en fonction du volume de corrections livrées et de la satisfaction des développeurs, plutôt que du seul nombre brut de vulnérabilités, afin d'éviter d'inciter à des constats de faible valeur.</w:t>
      </w:r>
    </w:p>
    <w:p>
      <w:pPr>
        <w:pStyle w:val="ListParagraph"/>
        <w:numPr>
          <w:ilvl w:val="0"/>
          <w:numId w:val="2"/>
        </w:numPr>
      </w:pPr>
      <w:r>
        <w:rPr>
          <w:b/>
          <w:bCs/>
          <w:color w:val="1A1A1A"/>
        </w:rPr>
        <w:t xml:space="preserve">Des entretiens techniques menés par le fondateur : </w:t>
      </w:r>
      <w:r>
        <w:t xml:space="preserve">un exercice de revue de code sécurisée en binôme, en direct, sur une classe réelle et anonymisée de vulnérabilité fintech, garantissant que chaque recrue incarne la thèse « par des développeurs, pour des développeurs ».</w:t>
      </w:r>
    </w:p>
    <w:p>
      <w:pPr>
        <w:pStyle w:val="ListParagraph"/>
        <w:numPr>
          <w:ilvl w:val="0"/>
          <w:numId w:val="2"/>
        </w:numPr>
      </w:pPr>
      <w:r>
        <w:rPr>
          <w:b/>
          <w:bCs/>
          <w:color w:val="1A1A1A"/>
        </w:rPr>
        <w:t xml:space="preserve">Des équipes de recrutement régionales : </w:t>
      </w:r>
      <w:r>
        <w:t xml:space="preserve">des ingénieurs séniors recrutés dans les bassins de talents locaux de chaque région d'opération — par exemple Dublin/Amsterdam pour l'Europe et Lagos/Nairobi pour l'Afrique — afin d'allier maîtrise réglementaire locale et exigence d'ingénierie du cabinet.</w:t>
      </w:r>
    </w:p>
    <w:p>
      <w:pPr>
        <w:pStyle w:val="Heading2"/>
      </w:pPr>
      <w:r>
        <w:t xml:space="preserve">7.3 Remarque finale</w:t>
      </w:r>
    </w:p>
    <w:p>
      <w:r>
        <w:t xml:space="preserve">Ce plan d'affaires est conçu comme un document stratégique évolutif. Chaque section est destinée à être confrontée aux retours du conseil d'administration, affinée par les premiers échanges avec les clients et mise à jour à mesure que l'équipe dirigeante et la stratégie de mise sur le marché se précisent.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4D4" w:sz="4" w:space="4"/>
      </w:pBdr>
      <w:tabs>
        <w:tab w:val="right" w:pos="9026"/>
      </w:tabs>
    </w:pPr>
    <w:r>
      <w:rPr>
        <w:color w:val="8C8C8C"/>
        <w:sz w:val="15"/>
        <w:szCs w:val="15"/>
      </w:rPr>
      <w:t xml:space="preserve">CONFIDENTIEL — Codeward Security</w:t>
    </w:r>
    <w:r>
      <w:rPr>
        <w:color w:val="8C8C8C"/>
        <w:sz w:val="15"/>
        <w:szCs w:val="15"/>
      </w:rPr>
      <w:t xml:space="preserve">	Page </w:t>
    </w:r>
    <w:r>
      <w:rPr>
        <w:color w:val="8C8C8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192E" w:sz="6" w:space="4"/>
      </w:pBdr>
      <w:spacing w:after="80"/>
      <w:jc w:val="center"/>
    </w:pPr>
    <w:r>
      <w:rPr>
        <w:b/>
        <w:bCs/>
        <w:color w:val="8C8C8C"/>
        <w:sz w:val="15"/>
        <w:szCs w:val="15"/>
      </w:rPr>
      <w:t xml:space="preserve">CODEWARD SECURITY  —  PLAN D'AFFAIRES STRATÉGIQUE EN CYBERSÉCURITÉ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color w:val="A6192E"/>
      </w:rPr>
    </w:lvl>
    <w:lvl w:ilvl="1" w15:tentative="1">
      <w:start w:val="1"/>
      <w:numFmt w:val="bullet"/>
      <w:lvlText w:val="–"/>
      <w:lvlJc w:val="left"/>
      <w:pPr>
        <w:spacing w:after="100"/>
        <w:ind w:left="1440" w:hanging="360"/>
      </w:pPr>
      <w:rPr>
        <w:rFonts w:ascii="Arial" w:cs="Arial" w:eastAsia="Arial" w:hAnsi="Arial"/>
        <w:color w:val="8C8C8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6192E" w:sz="18" w:space="6"/>
      </w:pBdr>
      <w:spacing w:after="240" w:before="48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A6192E"/>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2026-06-21T00:02:19.864Z</dcterms:created>
  <dcterms:modified xsi:type="dcterms:W3CDTF">2026-06-21T00:02:19.864Z</dcterms:modified>
</cp:coreProperties>
</file>

<file path=docProps/custom.xml><?xml version="1.0" encoding="utf-8"?>
<Properties xmlns="http://schemas.openxmlformats.org/officeDocument/2006/custom-properties" xmlns:vt="http://schemas.openxmlformats.org/officeDocument/2006/docPropsVTypes"/>
</file>