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aps/>
          <w:color w:val="1E3A5F"/>
          <w:sz w:val="52"/>
          <w:szCs w:val="52"/>
        </w:rPr>
        <w:t xml:space="preserve">SYNCMASTER</w:t>
      </w:r>
    </w:p>
    <w:p>
      <w:pPr>
        <w:spacing w:after="80" w:before="0"/>
      </w:pPr>
      <w:r>
        <w:rPr>
          <w:rFonts w:ascii="Arial" w:cs="Arial" w:eastAsia="Arial" w:hAnsi="Arial"/>
          <w:i/>
          <w:iCs/>
          <w:color w:val="2D5F8F"/>
          <w:sz w:val="28"/>
          <w:szCs w:val="28"/>
        </w:rPr>
        <w:t xml:space="preserve">Intelligence Stack, Data Moat &amp; Funding Strategy</w:t>
      </w:r>
    </w:p>
    <w:p>
      <w:pPr>
        <w:spacing w:after="40" w:before="0"/>
      </w:pPr>
      <w:r>
        <w:rPr>
          <w:rFonts w:ascii="Arial" w:cs="Arial" w:eastAsia="Arial" w:hAnsi="Arial"/>
          <w:color w:val="64748B"/>
          <w:sz w:val="22"/>
          <w:szCs w:val="22"/>
        </w:rPr>
        <w:t xml:space="preserve">Cofounder Briefing Document</w:t>
      </w:r>
    </w:p>
    <w:p>
      <w:pPr>
        <w:spacing w:after="400" w:before="0"/>
      </w:pPr>
      <w:r>
        <w:rPr>
          <w:rFonts w:ascii="Arial" w:cs="Arial" w:eastAsia="Arial" w:hAnsi="Arial"/>
          <w:color w:val="64748B"/>
          <w:sz w:val="20"/>
          <w:szCs w:val="20"/>
        </w:rPr>
        <w:t xml:space="preserve">May 2026  ·  Confidential</w:t>
      </w:r>
    </w:p>
    <w:p>
      <w:pPr>
        <w:pBdr>
          <w:bottom w:val="single" w:color="CBD5E1" w:sz="4" w:space="1"/>
        </w:pBdr>
        <w:spacing w:after="160" w:before="160"/>
      </w:pPr>
      <w:r>
        <w:t xml:space="preserve"/>
      </w:r>
    </w:p>
    <w:p>
      <w:pPr>
        <w:pStyle w:val="Heading1"/>
        <w:spacing w:after="160" w:before="360"/>
      </w:pPr>
      <w:r>
        <w:rPr>
          <w:rFonts w:ascii="Arial" w:cs="Arial" w:eastAsia="Arial" w:hAnsi="Arial"/>
          <w:b/>
          <w:bCs/>
          <w:color w:val="1E3A5F"/>
          <w:sz w:val="30"/>
          <w:szCs w:val="30"/>
        </w:rPr>
        <w:t xml:space="preserve">Executive Summary</w:t>
      </w:r>
    </w:p>
    <w:p>
      <w:pPr>
        <w:spacing w:after="100" w:before="60"/>
      </w:pPr>
      <w:r>
        <w:rPr>
          <w:rFonts w:ascii="Arial" w:cs="Arial" w:eastAsia="Arial" w:hAnsi="Arial"/>
          <w:b w:val="false"/>
          <w:bCs w:val="false"/>
          <w:i w:val="false"/>
          <w:iCs w:val="false"/>
          <w:color w:val="334155"/>
          <w:sz w:val="22"/>
          <w:szCs w:val="22"/>
        </w:rPr>
        <w:t xml:space="preserve">SyncMaster is a music intelligence platform for sync licensing. Underneath the product is a data architecture that compounds in value with every track analysed. This document explains what we are building, why it creates a defensible moat, and what it means for Series A funding and acquisition conversations.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DE9FE" w:val="clear"/>
            <w:tcMar>
              <w:top w:type="dxa" w:w="140"/>
              <w:left w:type="dxa" w:w="200"/>
              <w:bottom w:type="dxa" w:w="140"/>
              <w:right w:type="dxa" w:w="200"/>
            </w:tcMar>
          </w:tcPr>
          <w:p>
            <w:pPr>
              <w:spacing w:after="60" w:before="0"/>
            </w:pPr>
            <w:r>
              <w:rPr>
                <w:rFonts w:ascii="Arial" w:cs="Arial" w:eastAsia="Arial" w:hAnsi="Arial"/>
                <w:b/>
                <w:bCs/>
                <w:caps/>
                <w:color w:val="5B21B6"/>
                <w:sz w:val="20"/>
                <w:szCs w:val="20"/>
              </w:rPr>
              <w:t xml:space="preserve">THE ONE-SENTENCE THESIS</w:t>
            </w:r>
          </w:p>
          <w:p>
            <w:pPr>
              <w:spacing w:after="0" w:before="0"/>
            </w:pPr>
            <w:r>
              <w:rPr>
                <w:rFonts w:ascii="Arial" w:cs="Arial" w:eastAsia="Arial" w:hAnsi="Arial"/>
                <w:color w:val="334155"/>
                <w:sz w:val="21"/>
                <w:szCs w:val="21"/>
              </w:rPr>
              <w:t xml:space="preserve">Every track a music supervisor evaluates against a placement brief encodes domain expertise. We capture that expertise at scale. That dataset is the asset — the product is the vehicle that fills it.</w:t>
            </w:r>
          </w:p>
        </w:tc>
      </w:tr>
    </w:tbl>
    <w:p>
      <w:pPr>
        <w:spacing w:after="120" w:before="0"/>
      </w:pPr>
      <w:r>
        <w:t xml:space="preserve"/>
      </w:r>
    </w:p>
    <w:p>
      <w:pPr>
        <w:pBdr>
          <w:bottom w:val="single" w:color="CBD5E1" w:sz="4" w:space="1"/>
        </w:pBdr>
        <w:spacing w:after="160" w:before="160"/>
      </w:pPr>
      <w:r>
        <w:t xml:space="preserve"/>
      </w:r>
    </w:p>
    <w:p>
      <w:pPr>
        <w:pStyle w:val="Heading1"/>
        <w:spacing w:after="160" w:before="360"/>
      </w:pPr>
      <w:r>
        <w:rPr>
          <w:rFonts w:ascii="Arial" w:cs="Arial" w:eastAsia="Arial" w:hAnsi="Arial"/>
          <w:b/>
          <w:bCs/>
          <w:color w:val="1E3A5F"/>
          <w:sz w:val="30"/>
          <w:szCs w:val="30"/>
        </w:rPr>
        <w:t xml:space="preserve">What We Are Building</w:t>
      </w:r>
    </w:p>
    <w:p>
      <w:pPr>
        <w:pStyle w:val="Heading2"/>
        <w:spacing w:after="120" w:before="280"/>
      </w:pPr>
      <w:r>
        <w:rPr>
          <w:rFonts w:ascii="Arial" w:cs="Arial" w:eastAsia="Arial" w:hAnsi="Arial"/>
          <w:b/>
          <w:bCs/>
          <w:color w:val="2D5F8F"/>
          <w:sz w:val="24"/>
          <w:szCs w:val="24"/>
        </w:rPr>
        <w:t xml:space="preserve">The Product: SyncMaster</w:t>
      </w:r>
    </w:p>
    <w:p>
      <w:pPr>
        <w:spacing w:after="100" w:before="60"/>
      </w:pPr>
      <w:r>
        <w:rPr>
          <w:rFonts w:ascii="Arial" w:cs="Arial" w:eastAsia="Arial" w:hAnsi="Arial"/>
          <w:b w:val="false"/>
          <w:bCs w:val="false"/>
          <w:i w:val="false"/>
          <w:iCs w:val="false"/>
          <w:color w:val="334155"/>
          <w:sz w:val="22"/>
          <w:szCs w:val="22"/>
        </w:rPr>
        <w:t xml:space="preserve">SyncMaster is a platform for artists and music supervisors. Artists upload tracks. The platform returns metadata tags, mood classification, and a ranked list of active sync briefs that match their music. Music supervisors get a search and discovery tool trained on real placement intelligence rather than genre tags.</w:t>
      </w:r>
    </w:p>
    <w:p>
      <w:pPr>
        <w:spacing w:after="100" w:before="60"/>
      </w:pPr>
      <w:r>
        <w:rPr>
          <w:rFonts w:ascii="Arial" w:cs="Arial" w:eastAsia="Arial" w:hAnsi="Arial"/>
          <w:b w:val="false"/>
          <w:bCs w:val="false"/>
          <w:i w:val="false"/>
          <w:iCs w:val="false"/>
          <w:color w:val="334155"/>
          <w:sz w:val="22"/>
          <w:szCs w:val="22"/>
        </w:rPr>
        <w:t xml:space="preserve">This is the foreground product — the thing users see and pay for.</w:t>
      </w:r>
    </w:p>
    <w:p>
      <w:pPr>
        <w:spacing w:after="120" w:before="0"/>
      </w:pPr>
      <w:r>
        <w:t xml:space="preserve"/>
      </w:r>
    </w:p>
    <w:p>
      <w:pPr>
        <w:pStyle w:val="Heading2"/>
        <w:spacing w:after="120" w:before="280"/>
      </w:pPr>
      <w:r>
        <w:rPr>
          <w:rFonts w:ascii="Arial" w:cs="Arial" w:eastAsia="Arial" w:hAnsi="Arial"/>
          <w:b/>
          <w:bCs/>
          <w:color w:val="2D5F8F"/>
          <w:sz w:val="24"/>
          <w:szCs w:val="24"/>
        </w:rPr>
        <w:t xml:space="preserve">The Infrastructure: The Listening Farm</w:t>
      </w:r>
    </w:p>
    <w:p>
      <w:pPr>
        <w:spacing w:after="100" w:before="60"/>
      </w:pPr>
      <w:r>
        <w:rPr>
          <w:rFonts w:ascii="Arial" w:cs="Arial" w:eastAsia="Arial" w:hAnsi="Arial"/>
          <w:b w:val="false"/>
          <w:bCs w:val="false"/>
          <w:i w:val="false"/>
          <w:iCs w:val="false"/>
          <w:color w:val="334155"/>
          <w:sz w:val="22"/>
          <w:szCs w:val="22"/>
        </w:rPr>
        <w:t xml:space="preserve">Behind SyncMaster sits a pipeline that runs automatically on every uploaded track. We call it the Listening Farm. It has three layers: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7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7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Layer 1
Signal Extraction</w:t>
            </w:r>
          </w:p>
        </w:tc>
        <w:tc>
          <w:tcPr>
            <w:tcW w:type="dxa" w:w="37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Analyses the audio signal directly — BPM, key, energy, spectral texture, instrumentation, vocal presence</w:t>
            </w:r>
          </w:p>
        </w:tc>
        <w:tc>
          <w:tcPr>
            <w:tcW w:type="dxa" w:w="37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librosa (DSP pipeline)
Runs on every track
Cost: ~£0.001/track</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Layer 2
Semantic Evaluation</w:t>
            </w:r>
          </w:p>
        </w:tc>
        <w:tc>
          <w:tcPr>
            <w:tcW w:type="dxa" w:w="37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AI listens to the track in the context of a sync brief and returns a fit score, reasoning, strengths, and weaknesses in natural language</w:t>
            </w:r>
          </w:p>
        </w:tc>
        <w:tc>
          <w:tcPr>
            <w:tcW w:type="dxa" w:w="37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Gemini 1.5 Pro (multimodal)
Passes audio + brief directly
Cost: ~£0.02/evaluation</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Layer 3
Classifier Training</w:t>
            </w:r>
          </w:p>
        </w:tc>
        <w:tc>
          <w:tcPr>
            <w:tcW w:type="dxa" w:w="37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As evaluation records accumulate, a lightweight classifier is trained on them. It predicts sync fitness from Layer 1 features alone — no LLM call needed</w:t>
            </w:r>
          </w:p>
        </w:tc>
        <w:tc>
          <w:tcPr>
            <w:tcW w:type="dxa" w:w="37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scikit-learn (trained model)
Built from farm data
Reduces LLM cost by 60–70%</w:t>
            </w:r>
          </w:p>
        </w:tc>
      </w:tr>
    </w:tbl>
    <w:p>
      <w:pPr>
        <w:spacing w:after="120" w:before="0"/>
      </w:pPr>
      <w:r>
        <w:t xml:space="preserve"/>
      </w:r>
    </w:p>
    <w:p>
      <w:pPr>
        <w:spacing w:after="100" w:before="60"/>
      </w:pPr>
      <w:r>
        <w:rPr>
          <w:rFonts w:ascii="Arial" w:cs="Arial" w:eastAsia="Arial" w:hAnsi="Arial"/>
          <w:b w:val="false"/>
          <w:bCs w:val="false"/>
          <w:i w:val="false"/>
          <w:iCs w:val="false"/>
          <w:color w:val="334155"/>
          <w:sz w:val="22"/>
          <w:szCs w:val="22"/>
        </w:rPr>
        <w:t xml:space="preserve">The teaching loop: the farm fills the evaluation log. The evaluation log trains the classifier. The classifier makes the metadata tagger sync-aware — it no longer just knows the BPM, it knows that tracks like this get placed in automotive campaigns 84% of the time.</w:t>
      </w:r>
    </w:p>
    <w:p>
      <w:pPr>
        <w:spacing w:after="120" w:before="0"/>
      </w:pPr>
      <w:r>
        <w:t xml:space="preserve"/>
      </w:r>
    </w:p>
    <w:p>
      <w:pPr>
        <w:pBdr>
          <w:bottom w:val="single" w:color="CBD5E1" w:sz="4" w:space="1"/>
        </w:pBdr>
        <w:spacing w:after="160" w:before="160"/>
      </w:pPr>
      <w:r>
        <w:t xml:space="preserve"/>
      </w:r>
    </w:p>
    <w:p>
      <w:pPr>
        <w:pStyle w:val="Heading1"/>
        <w:spacing w:after="160" w:before="360"/>
      </w:pPr>
      <w:r>
        <w:rPr>
          <w:rFonts w:ascii="Arial" w:cs="Arial" w:eastAsia="Arial" w:hAnsi="Arial"/>
          <w:b/>
          <w:bCs/>
          <w:color w:val="1E3A5F"/>
          <w:sz w:val="30"/>
          <w:szCs w:val="30"/>
        </w:rPr>
        <w:t xml:space="preserve">The Moat</w:t>
      </w:r>
    </w:p>
    <w:p>
      <w:pPr>
        <w:pStyle w:val="Heading2"/>
        <w:spacing w:after="120" w:before="280"/>
      </w:pPr>
      <w:r>
        <w:rPr>
          <w:rFonts w:ascii="Arial" w:cs="Arial" w:eastAsia="Arial" w:hAnsi="Arial"/>
          <w:b/>
          <w:bCs/>
          <w:color w:val="2D5F8F"/>
          <w:sz w:val="24"/>
          <w:szCs w:val="24"/>
        </w:rPr>
        <w:t xml:space="preserve">What the Moat Is</w:t>
      </w:r>
    </w:p>
    <w:p>
      <w:pPr>
        <w:spacing w:after="100" w:before="60"/>
      </w:pPr>
      <w:r>
        <w:rPr>
          <w:rFonts w:ascii="Arial" w:cs="Arial" w:eastAsia="Arial" w:hAnsi="Arial"/>
          <w:b w:val="false"/>
          <w:bCs w:val="false"/>
          <w:i w:val="false"/>
          <w:iCs w:val="false"/>
          <w:color w:val="334155"/>
          <w:sz w:val="22"/>
          <w:szCs w:val="22"/>
        </w:rPr>
        <w:t xml:space="preserve">The moat is the evaluation_log table in our database. Every entry contains one track evaluated against one placement brief, with a fit score, full reasoning, strengths, weaknesses, and a recommendation. This is not feature extraction — it is encoded editorial judgment.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BEB" w:val="clear"/>
            <w:tcMar>
              <w:top w:type="dxa" w:w="140"/>
              <w:left w:type="dxa" w:w="200"/>
              <w:bottom w:type="dxa" w:w="140"/>
              <w:right w:type="dxa" w:w="200"/>
            </w:tcMar>
          </w:tcPr>
          <w:p>
            <w:pPr>
              <w:spacing w:after="60" w:before="0"/>
            </w:pPr>
            <w:r>
              <w:rPr>
                <w:rFonts w:ascii="Arial" w:cs="Arial" w:eastAsia="Arial" w:hAnsi="Arial"/>
                <w:b/>
                <w:bCs/>
                <w:caps/>
                <w:color w:val="B45309"/>
                <w:sz w:val="20"/>
                <w:szCs w:val="20"/>
              </w:rPr>
              <w:t xml:space="preserve">PRECEDENT: MUSIIO → SOUNDCLOUD (2022)</w:t>
            </w:r>
          </w:p>
          <w:p>
            <w:pPr>
              <w:spacing w:after="0" w:before="0"/>
            </w:pPr>
            <w:r>
              <w:rPr>
                <w:rFonts w:ascii="Arial" w:cs="Arial" w:eastAsia="Arial" w:hAnsi="Arial"/>
                <w:color w:val="334155"/>
                <w:sz w:val="21"/>
                <w:szCs w:val="21"/>
              </w:rPr>
              <w:t xml:space="preserve">Musiio built AI that could “listen to music at scale” and automated tagging and playlisting. By acquisition they had analysed over 400 million tracks across 75 B2B clients in 11 countries. SoundCloud acquired them specifically to “understand how music is moving in a proprietary way.” The dataset was the acquisition target. The technology was the means.</w:t>
            </w:r>
          </w:p>
        </w:tc>
      </w:tr>
    </w:tbl>
    <w:p>
      <w:pPr>
        <w:spacing w:after="120" w:before="0"/>
      </w:pPr>
      <w:r>
        <w:t xml:space="preserve"/>
      </w:r>
    </w:p>
    <w:p>
      <w:pPr>
        <w:pStyle w:val="Heading2"/>
        <w:spacing w:after="120" w:before="280"/>
      </w:pPr>
      <w:r>
        <w:rPr>
          <w:rFonts w:ascii="Arial" w:cs="Arial" w:eastAsia="Arial" w:hAnsi="Arial"/>
          <w:b/>
          <w:bCs/>
          <w:color w:val="2D5F8F"/>
          <w:sz w:val="24"/>
          <w:szCs w:val="24"/>
        </w:rPr>
        <w:t xml:space="preserve">Why It Is Defensible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Characteristic</w:t>
            </w:r>
          </w:p>
        </w:tc>
        <w:tc>
          <w:tcPr>
            <w:tcW w:type="dxa" w:w="64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 It Protects Us</w:t>
            </w:r>
          </w:p>
        </w:tc>
      </w:tr>
      <w:tr>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Time to replicate</w:t>
            </w:r>
          </w:p>
        </w:tc>
        <w:tc>
          <w:tcPr>
            <w:tcW w:type="dxa" w:w="6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 competitor starting today must run the same farm for months or years to reach the same evaluation volume. Data compounds; code does not.</w:t>
            </w:r>
          </w:p>
        </w:tc>
      </w:tr>
      <w:tr>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Schema depth</w:t>
            </w:r>
          </w:p>
        </w:tc>
        <w:tc>
          <w:tcPr>
            <w:tcW w:type="dxa" w:w="6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Our evaluation records contain natural language reasoning, not just scores. The way we encode sync judgment is our proprietary ontology. It is not replicable by copying the technology.</w:t>
            </w:r>
          </w:p>
        </w:tc>
      </w:tr>
      <w:tr>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Real music intent</w:t>
            </w:r>
          </w:p>
        </w:tc>
        <w:tc>
          <w:tcPr>
            <w:tcW w:type="dxa" w:w="6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Artist uploads carry real commercial intent — these artists want their tracks licensed. That signal is more valuable than synthetically generated data.</w:t>
            </w:r>
          </w:p>
        </w:tc>
      </w:tr>
      <w:tr>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Teaching loop</w:t>
            </w:r>
          </w:p>
        </w:tc>
        <w:tc>
          <w:tcPr>
            <w:tcW w:type="dxa" w:w="6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As the log grows, the classifier improves. The product gets better with scale. A new entrant with no data cannot replicate this without years of operation.</w:t>
            </w:r>
          </w:p>
        </w:tc>
      </w:tr>
      <w:tr>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Two-layer asset</w:t>
            </w:r>
          </w:p>
        </w:tc>
        <w:tc>
          <w:tcPr>
            <w:tcW w:type="dxa" w:w="6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The moat is both the evaluation data AND the trained classifier derived from it. An acquirer gets both. Neither is separable without the other.</w:t>
            </w:r>
          </w:p>
        </w:tc>
      </w:tr>
    </w:tbl>
    <w:p>
      <w:pPr>
        <w:spacing w:after="120" w:before="0"/>
      </w:pPr>
      <w:r>
        <w:t xml:space="preserve"/>
      </w:r>
    </w:p>
    <w:p>
      <w:pPr>
        <w:pStyle w:val="Heading2"/>
        <w:spacing w:after="120" w:before="280"/>
      </w:pPr>
      <w:r>
        <w:rPr>
          <w:rFonts w:ascii="Arial" w:cs="Arial" w:eastAsia="Arial" w:hAnsi="Arial"/>
          <w:b/>
          <w:bCs/>
          <w:color w:val="2D5F8F"/>
          <w:sz w:val="24"/>
          <w:szCs w:val="24"/>
        </w:rPr>
        <w:t xml:space="preserve">The Hybrid Input Strategy</w:t>
      </w:r>
    </w:p>
    <w:p>
      <w:pPr>
        <w:spacing w:after="100" w:before="60"/>
      </w:pPr>
      <w:r>
        <w:rPr>
          <w:rFonts w:ascii="Arial" w:cs="Arial" w:eastAsia="Arial" w:hAnsi="Arial"/>
          <w:b w:val="false"/>
          <w:bCs w:val="false"/>
          <w:i w:val="false"/>
          <w:iCs w:val="false"/>
          <w:color w:val="334155"/>
          <w:sz w:val="22"/>
          <w:szCs w:val="22"/>
        </w:rPr>
        <w:t xml:space="preserve">We bootstrap the farm before our first real user using open source music catalogues (FMA, ccMixter, Jamendo). This proves the pipeline, refines the brief library, and produces 10,000 evaluation records before any artist signs up. Once SyncMaster launches, artist uploads replace synthetic inputs and the data quality increases significantly. Synthetic records are flagged in the database and excluded from external reporting.</w:t>
      </w:r>
    </w:p>
    <w:p>
      <w:pPr>
        <w:spacing w:after="120" w:before="0"/>
      </w:pPr>
      <w:r>
        <w:t xml:space="preserve"/>
      </w:r>
    </w:p>
    <w:p>
      <w:pPr>
        <w:pBdr>
          <w:bottom w:val="single" w:color="CBD5E1" w:sz="4" w:space="1"/>
        </w:pBdr>
        <w:spacing w:after="160" w:before="160"/>
      </w:pPr>
      <w:r>
        <w:t xml:space="preserve"/>
      </w:r>
    </w:p>
    <w:p>
      <w:pPr>
        <w:pStyle w:val="Heading1"/>
        <w:spacing w:after="160" w:before="360"/>
      </w:pPr>
      <w:r>
        <w:rPr>
          <w:rFonts w:ascii="Arial" w:cs="Arial" w:eastAsia="Arial" w:hAnsi="Arial"/>
          <w:b/>
          <w:bCs/>
          <w:color w:val="1E3A5F"/>
          <w:sz w:val="30"/>
          <w:szCs w:val="30"/>
        </w:rPr>
        <w:t xml:space="preserve">Farm Architecture</w:t>
      </w:r>
    </w:p>
    <w:p>
      <w:pPr>
        <w:pStyle w:val="Heading2"/>
        <w:spacing w:after="120" w:before="280"/>
      </w:pPr>
      <w:r>
        <w:rPr>
          <w:rFonts w:ascii="Arial" w:cs="Arial" w:eastAsia="Arial" w:hAnsi="Arial"/>
          <w:b/>
          <w:bCs/>
          <w:color w:val="2D5F8F"/>
          <w:sz w:val="24"/>
          <w:szCs w:val="24"/>
        </w:rPr>
        <w:t xml:space="preserve">The Two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4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Phase 1
Generation Bootstrap
(Months 1–2)</w:t>
            </w:r>
          </w:p>
        </w:tc>
        <w:tc>
          <w:tcPr>
            <w:tcW w:type="dxa" w:w="6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AI generates synthetic tracks with controlled metadata. Listener agents evaluate them against the brief library. Pipeline is proven. Schema is locked. 10,000 evaluation records produced at ~£200 cost. No real users needed.</w:t>
            </w:r>
          </w:p>
        </w:tc>
      </w:tr>
      <w:tr>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Phase 2
Listening Farm
(Month 3+)</w:t>
            </w:r>
          </w:p>
        </w:tc>
        <w:tc>
          <w:tcPr>
            <w:tcW w:type="dxa" w:w="6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Artist uploads replace synthetic tracks. Every upload triggers Layer 1 extraction and Layer 2 brief matching. Artist receives metadata and top brief matches. Every evaluation writes to the moat log. Real data begins.</w:t>
            </w:r>
          </w:p>
        </w:tc>
      </w:tr>
    </w:tbl>
    <w:p>
      <w:pPr>
        <w:spacing w:after="120" w:before="0"/>
      </w:pPr>
      <w:r>
        <w:t xml:space="preserve"/>
      </w:r>
    </w:p>
    <w:p>
      <w:pPr>
        <w:pStyle w:val="Heading2"/>
        <w:spacing w:after="120" w:before="280"/>
      </w:pPr>
      <w:r>
        <w:rPr>
          <w:rFonts w:ascii="Arial" w:cs="Arial" w:eastAsia="Arial" w:hAnsi="Arial"/>
          <w:b/>
          <w:bCs/>
          <w:color w:val="2D5F8F"/>
          <w:sz w:val="24"/>
          <w:szCs w:val="24"/>
        </w:rPr>
        <w:t xml:space="preserve">What the Metadata Tagger Actually Does</w:t>
      </w:r>
    </w:p>
    <w:p>
      <w:pPr>
        <w:spacing w:after="100" w:before="60"/>
      </w:pPr>
      <w:r>
        <w:rPr>
          <w:rFonts w:ascii="Arial" w:cs="Arial" w:eastAsia="Arial" w:hAnsi="Arial"/>
          <w:b w:val="false"/>
          <w:bCs w:val="false"/>
          <w:i w:val="false"/>
          <w:iCs w:val="false"/>
          <w:color w:val="334155"/>
          <w:sz w:val="22"/>
          <w:szCs w:val="22"/>
        </w:rPr>
        <w:t xml:space="preserve">The metadata tagger is not reading tags embedded in the MP3 file by the artist. It is extracting features directly from the audio signal using digital signal processing — beat tracking, harmonic analysis, spectral measurement. This is Layer 1. It tells us what the track contains.</w:t>
      </w:r>
    </w:p>
    <w:p>
      <w:pPr>
        <w:spacing w:after="100" w:before="60"/>
      </w:pPr>
      <w:r>
        <w:rPr>
          <w:rFonts w:ascii="Arial" w:cs="Arial" w:eastAsia="Arial" w:hAnsi="Arial"/>
          <w:b w:val="false"/>
          <w:bCs w:val="false"/>
          <w:i w:val="false"/>
          <w:iCs w:val="false"/>
          <w:color w:val="334155"/>
          <w:sz w:val="22"/>
          <w:szCs w:val="22"/>
        </w:rPr>
        <w:t xml:space="preserve">Layer 2 is what tells us what the track is good for. That is the Gemini model listening in context. The tagger becomes sync-aware only once the farm has trained the Layer 3 classifier on accumulated evaluations.</w:t>
      </w:r>
    </w:p>
    <w:p>
      <w:pPr>
        <w:spacing w:after="120" w:before="0"/>
      </w:pPr>
      <w:r>
        <w:t xml:space="preserve"/>
      </w:r>
    </w:p>
    <w:p>
      <w:pPr>
        <w:pBdr>
          <w:bottom w:val="single" w:color="CBD5E1" w:sz="4" w:space="1"/>
        </w:pBdr>
        <w:spacing w:after="160" w:before="160"/>
      </w:pPr>
      <w:r>
        <w:t xml:space="preserve"/>
      </w:r>
    </w:p>
    <w:p>
      <w:pPr>
        <w:pStyle w:val="Heading1"/>
        <w:spacing w:after="160" w:before="360"/>
      </w:pPr>
      <w:r>
        <w:rPr>
          <w:rFonts w:ascii="Arial" w:cs="Arial" w:eastAsia="Arial" w:hAnsi="Arial"/>
          <w:b/>
          <w:bCs/>
          <w:color w:val="1E3A5F"/>
          <w:sz w:val="30"/>
          <w:szCs w:val="30"/>
        </w:rPr>
        <w:t xml:space="preserve">Domain Replication</w:t>
      </w:r>
    </w:p>
    <w:p>
      <w:pPr>
        <w:spacing w:after="100" w:before="60"/>
      </w:pPr>
      <w:r>
        <w:rPr>
          <w:rFonts w:ascii="Arial" w:cs="Arial" w:eastAsia="Arial" w:hAnsi="Arial"/>
          <w:b w:val="false"/>
          <w:bCs w:val="false"/>
          <w:i w:val="false"/>
          <w:iCs w:val="false"/>
          <w:color w:val="334155"/>
          <w:sz w:val="22"/>
          <w:szCs w:val="22"/>
        </w:rPr>
        <w:t xml:space="preserve">The three-layer architecture is domain-agnostic. SyncMaster is the first deployment. The same pattern applies to any domain where content must be evaluated against a contextual brief.</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4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Music — SyncMaster</w:t>
            </w:r>
          </w:p>
        </w:tc>
        <w:tc>
          <w:tcPr>
            <w:tcW w:type="dxa" w:w="34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Film — ScriptMaster</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Layer 1 Tool</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librosa (audio DSP)</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spaCy (script NLP)</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Layer 1 Features</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BPM, key, energy, spectral</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Scene type, INT/EXT, character count, tone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Layer 2 Model</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Gemini 1.5 Pro (audio)</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Claude (text reasoning)</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Evaluation Context</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Sync placement brief</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Production brief / budget range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Layer 2 Output</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Track fit score + reasoning</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Scene complexity + call sheet elements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Moat Table</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evaluation_log</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scene_evaluation_log</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Layer 3 Output</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Sync fitness classifier</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Production complexity classifier</w:t>
            </w:r>
          </w:p>
        </w:tc>
      </w:tr>
    </w:tbl>
    <w:p>
      <w:pPr>
        <w:spacing w:after="120" w:before="0"/>
      </w:pPr>
      <w:r>
        <w:t xml:space="preserve"/>
      </w:r>
    </w:p>
    <w:p>
      <w:pPr>
        <w:spacing w:after="100" w:before="60"/>
      </w:pPr>
      <w:r>
        <w:rPr>
          <w:rFonts w:ascii="Arial" w:cs="Arial" w:eastAsia="Arial" w:hAnsi="Arial"/>
          <w:b w:val="false"/>
          <w:bCs w:val="false"/>
          <w:i w:val="false"/>
          <w:iCs w:val="false"/>
          <w:color w:val="334155"/>
          <w:sz w:val="22"/>
          <w:szCs w:val="22"/>
        </w:rPr>
        <w:t xml:space="preserve">The underlying operating system (Dakol-AI-OS) routes tasks, runs agents, and logs decisions across all domains. SyncMaster and ScriptMaster are vertical products built on the same infrastructure. One codebase. Multiple moats.</w:t>
      </w:r>
    </w:p>
    <w:p>
      <w:pPr>
        <w:spacing w:after="120" w:before="0"/>
      </w:pPr>
      <w:r>
        <w:t xml:space="preserve"/>
      </w:r>
    </w:p>
    <w:p>
      <w:pPr>
        <w:pBdr>
          <w:bottom w:val="single" w:color="CBD5E1" w:sz="4" w:space="1"/>
        </w:pBdr>
        <w:spacing w:after="160" w:before="160"/>
      </w:pPr>
      <w:r>
        <w:t xml:space="preserve"/>
      </w:r>
    </w:p>
    <w:p>
      <w:pPr>
        <w:pStyle w:val="Heading1"/>
        <w:spacing w:after="160" w:before="360"/>
      </w:pPr>
      <w:r>
        <w:rPr>
          <w:rFonts w:ascii="Arial" w:cs="Arial" w:eastAsia="Arial" w:hAnsi="Arial"/>
          <w:b/>
          <w:bCs/>
          <w:color w:val="1E3A5F"/>
          <w:sz w:val="30"/>
          <w:szCs w:val="30"/>
        </w:rPr>
        <w:t xml:space="preserve">Revenue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64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Path A
SyncMaster SaaS</w:t>
            </w:r>
          </w:p>
        </w:tc>
        <w:tc>
          <w:tcPr>
            <w:tcW w:type="dxa" w:w="6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Subscription product for artists and music supervisors. £49–£299/month per seat. Every subscriber contributes evaluation records to the moat. Revenue funds farm operations.</w:t>
            </w:r>
          </w:p>
        </w:tc>
      </w:tr>
      <w:tr>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Path B
API Platform</w:t>
            </w:r>
          </w:p>
        </w:tc>
        <w:tc>
          <w:tcPr>
            <w:tcW w:type="dxa" w:w="6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Expose the routing and evaluation intelligence as a public API. Developers and music platforms integrate it. Pricing by task volume. The shared intelligence layer compounds across all customers.</w:t>
            </w:r>
          </w:p>
        </w:tc>
      </w:tr>
      <w:tr>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Path C
Dataset Licensing</w:t>
            </w:r>
          </w:p>
        </w:tc>
        <w:tc>
          <w:tcPr>
            <w:tcW w:type="dxa" w:w="6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License the evaluation_log dataset independently to music platforms, rights organisations, or research institutions. Sold as “AI-generated synthetic music intelligence data” — clearly labelled, genuinely valuable for training licensing recommendation systems.</w:t>
            </w:r>
          </w:p>
        </w:tc>
      </w:tr>
      <w:tr>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Path D
White-Label Enterprise</w:t>
            </w:r>
          </w:p>
        </w:tc>
        <w:tc>
          <w:tcPr>
            <w:tcW w:type="dxa" w:w="6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Deploy a fully configured instance for an enterprise client in music, film, or media. They get their own agents, isolated data, and branded dashboard. £10,000–£50,000 implementation fee plus monthly licence.</w:t>
            </w:r>
          </w:p>
        </w:tc>
      </w:tr>
    </w:tbl>
    <w:p>
      <w:pPr>
        <w:spacing w:after="120" w:before="0"/>
      </w:pPr>
      <w:r>
        <w:t xml:space="preserve"/>
      </w:r>
    </w:p>
    <w:p>
      <w:pPr>
        <w:pBdr>
          <w:bottom w:val="single" w:color="CBD5E1" w:sz="4" w:space="1"/>
        </w:pBdr>
        <w:spacing w:after="160" w:before="160"/>
      </w:pPr>
      <w:r>
        <w:t xml:space="preserve"/>
      </w:r>
    </w:p>
    <w:p>
      <w:pPr>
        <w:pStyle w:val="Heading1"/>
        <w:spacing w:after="160" w:before="360"/>
      </w:pPr>
      <w:r>
        <w:rPr>
          <w:rFonts w:ascii="Arial" w:cs="Arial" w:eastAsia="Arial" w:hAnsi="Arial"/>
          <w:b/>
          <w:bCs/>
          <w:color w:val="1E3A5F"/>
          <w:sz w:val="30"/>
          <w:szCs w:val="30"/>
        </w:rPr>
        <w:t xml:space="preserve">Series A Funding</w:t>
      </w:r>
    </w:p>
    <w:p>
      <w:pPr>
        <w:pStyle w:val="Heading2"/>
        <w:spacing w:after="120" w:before="280"/>
      </w:pPr>
      <w:r>
        <w:rPr>
          <w:rFonts w:ascii="Arial" w:cs="Arial" w:eastAsia="Arial" w:hAnsi="Arial"/>
          <w:b/>
          <w:bCs/>
          <w:color w:val="2D5F8F"/>
          <w:sz w:val="24"/>
          <w:szCs w:val="24"/>
        </w:rPr>
        <w:t xml:space="preserve">What Series A Investors Are Buying</w:t>
      </w:r>
    </w:p>
    <w:p>
      <w:pPr>
        <w:spacing w:after="100" w:before="60"/>
      </w:pPr>
      <w:r>
        <w:rPr>
          <w:rFonts w:ascii="Arial" w:cs="Arial" w:eastAsia="Arial" w:hAnsi="Arial"/>
          <w:b w:val="false"/>
          <w:bCs w:val="false"/>
          <w:i w:val="false"/>
          <w:iCs w:val="false"/>
          <w:color w:val="334155"/>
          <w:sz w:val="22"/>
          <w:szCs w:val="22"/>
        </w:rPr>
        <w:t xml:space="preserve">Series A investors in AI and data companies are not buying the technology. They are buying the compounding data asset and the evidence that the data creates durable competitive advantage. The technology is assumed to be replicable. The data is assumed not to be.</w:t>
      </w:r>
    </w:p>
    <w:p>
      <w:pPr>
        <w:spacing w:after="120" w:before="0"/>
      </w:pPr>
      <w:r>
        <w:t xml:space="preserve"/>
      </w:r>
    </w:p>
    <w:p>
      <w:pPr>
        <w:spacing w:after="100" w:before="60"/>
      </w:pPr>
      <w:r>
        <w:rPr>
          <w:rFonts w:ascii="Arial" w:cs="Arial" w:eastAsia="Arial" w:hAnsi="Arial"/>
          <w:b w:val="false"/>
          <w:bCs w:val="false"/>
          <w:i w:val="false"/>
          <w:iCs w:val="false"/>
          <w:color w:val="334155"/>
          <w:sz w:val="22"/>
          <w:szCs w:val="22"/>
        </w:rPr>
        <w:t xml:space="preserve">For a dataset and farm architecture like ours, a Series A investor is acquiring:</w:t>
      </w:r>
    </w:p>
    <w:p>
      <w:pPr>
        <w:pStyle w:val="ListParagraph"/>
        <w:numPr>
          <w:ilvl w:val="0"/>
          <w:numId w:val="2"/>
        </w:numPr>
        <w:spacing w:after="40" w:before="40"/>
      </w:pPr>
      <w:r>
        <w:rPr>
          <w:rFonts w:ascii="Arial" w:cs="Arial" w:eastAsia="Arial" w:hAnsi="Arial"/>
          <w:color w:val="334155"/>
          <w:sz w:val="22"/>
          <w:szCs w:val="22"/>
        </w:rPr>
        <w:t xml:space="preserve">A data flywheel with measurable acceleration — the more users, the more evaluations, the better the classifier, the better the product, the more users.</w:t>
      </w:r>
    </w:p>
    <w:p>
      <w:pPr>
        <w:pStyle w:val="ListParagraph"/>
        <w:numPr>
          <w:ilvl w:val="0"/>
          <w:numId w:val="2"/>
        </w:numPr>
        <w:spacing w:after="40" w:before="40"/>
      </w:pPr>
      <w:r>
        <w:rPr>
          <w:rFonts w:ascii="Arial" w:cs="Arial" w:eastAsia="Arial" w:hAnsi="Arial"/>
          <w:color w:val="334155"/>
          <w:sz w:val="22"/>
          <w:szCs w:val="22"/>
        </w:rPr>
        <w:t xml:space="preserve">A proprietary ontology — our brief taxonomy and evaluation schema is an asset that does not exist elsewhere.</w:t>
      </w:r>
    </w:p>
    <w:p>
      <w:pPr>
        <w:pStyle w:val="ListParagraph"/>
        <w:numPr>
          <w:ilvl w:val="0"/>
          <w:numId w:val="2"/>
        </w:numPr>
        <w:spacing w:after="40" w:before="40"/>
      </w:pPr>
      <w:r>
        <w:rPr>
          <w:rFonts w:ascii="Arial" w:cs="Arial" w:eastAsia="Arial" w:hAnsi="Arial"/>
          <w:color w:val="334155"/>
          <w:sz w:val="22"/>
          <w:szCs w:val="22"/>
        </w:rPr>
        <w:t xml:space="preserve">Time advantage — the evaluation log cannot be replicated from scratch in under 12 months, regardless of capital.</w:t>
      </w:r>
    </w:p>
    <w:p>
      <w:pPr>
        <w:pStyle w:val="ListParagraph"/>
        <w:numPr>
          <w:ilvl w:val="0"/>
          <w:numId w:val="2"/>
        </w:numPr>
        <w:spacing w:after="40" w:before="40"/>
      </w:pPr>
      <w:r>
        <w:rPr>
          <w:rFonts w:ascii="Arial" w:cs="Arial" w:eastAsia="Arial" w:hAnsi="Arial"/>
          <w:color w:val="334155"/>
          <w:sz w:val="22"/>
          <w:szCs w:val="22"/>
        </w:rPr>
        <w:t xml:space="preserve">Multi-domain optionality — the architecture replicates to film, media, and other verticals without rebuilding the infrastructure.</w:t>
      </w:r>
    </w:p>
    <w:p>
      <w:pPr>
        <w:pStyle w:val="ListParagraph"/>
        <w:numPr>
          <w:ilvl w:val="0"/>
          <w:numId w:val="2"/>
        </w:numPr>
        <w:spacing w:after="40" w:before="40"/>
      </w:pPr>
      <w:r>
        <w:rPr>
          <w:rFonts w:ascii="Arial" w:cs="Arial" w:eastAsia="Arial" w:hAnsi="Arial"/>
          <w:color w:val="334155"/>
          <w:sz w:val="22"/>
          <w:szCs w:val="22"/>
        </w:rPr>
        <w:t xml:space="preserve">Two separable exit assets — the SaaS revenue and the dataset can be valued and sold independently.</w:t>
      </w:r>
    </w:p>
    <w:p>
      <w:pPr>
        <w:spacing w:after="120" w:before="0"/>
      </w:pPr>
      <w:r>
        <w:t xml:space="preserve"/>
      </w:r>
    </w:p>
    <w:p>
      <w:pPr>
        <w:pStyle w:val="Heading2"/>
        <w:spacing w:after="120" w:before="280"/>
      </w:pPr>
      <w:r>
        <w:rPr>
          <w:rFonts w:ascii="Arial" w:cs="Arial" w:eastAsia="Arial" w:hAnsi="Arial"/>
          <w:b/>
          <w:bCs/>
          <w:color w:val="2D5F8F"/>
          <w:sz w:val="24"/>
          <w:szCs w:val="24"/>
        </w:rPr>
        <w:t xml:space="preserve">What Investors Expect to See at Series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64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 Threshold</w:t>
            </w:r>
          </w:p>
        </w:tc>
      </w:tr>
      <w:tr>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Monthly Recurring Revenue</w:t>
            </w:r>
          </w:p>
        </w:tc>
        <w:tc>
          <w:tcPr>
            <w:tcW w:type="dxa" w:w="6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£50,000–£500,000 MRR</w:t>
            </w:r>
          </w:p>
        </w:tc>
      </w:tr>
      <w:tr>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Evaluation record volume</w:t>
            </w:r>
          </w:p>
        </w:tc>
        <w:tc>
          <w:tcPr>
            <w:tcW w:type="dxa" w:w="6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100,000+ with documented growth rate</w:t>
            </w:r>
          </w:p>
        </w:tc>
      </w:tr>
      <w:tr>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Classifier accuracy</w:t>
            </w:r>
          </w:p>
        </w:tc>
        <w:tc>
          <w:tcPr>
            <w:tcW w:type="dxa" w:w="6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Demonstrable improvement over baseline as data grows</w:t>
            </w:r>
          </w:p>
        </w:tc>
      </w:tr>
      <w:tr>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Paying customers</w:t>
            </w:r>
          </w:p>
        </w:tc>
        <w:tc>
          <w:tcPr>
            <w:tcW w:type="dxa" w:w="6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25–50+ with retention data</w:t>
            </w:r>
          </w:p>
        </w:tc>
      </w:tr>
      <w:tr>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Data moat documentation</w:t>
            </w:r>
          </w:p>
        </w:tc>
        <w:tc>
          <w:tcPr>
            <w:tcW w:type="dxa" w:w="6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Formal dataset description, schema, and time-to-replicate analysis</w:t>
            </w:r>
          </w:p>
        </w:tc>
      </w:tr>
      <w:tr>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Domain expansion signal</w:t>
            </w:r>
          </w:p>
        </w:tc>
        <w:tc>
          <w:tcPr>
            <w:tcW w:type="dxa" w:w="6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At least one adjacent domain (film or media) in pilot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40"/>
              <w:left w:type="dxa" w:w="200"/>
              <w:bottom w:type="dxa" w:w="140"/>
              <w:right w:type="dxa" w:w="200"/>
            </w:tcMar>
          </w:tcPr>
          <w:p>
            <w:pPr>
              <w:spacing w:after="60" w:before="0"/>
            </w:pPr>
            <w:r>
              <w:rPr>
                <w:rFonts w:ascii="Arial" w:cs="Arial" w:eastAsia="Arial" w:hAnsi="Arial"/>
                <w:b/>
                <w:bCs/>
                <w:caps/>
                <w:color w:val="1E3A5F"/>
                <w:sz w:val="20"/>
                <w:szCs w:val="20"/>
              </w:rPr>
              <w:t xml:space="preserve">THE FUNDING NARRATIVE IN ONE PARAGRAPH</w:t>
            </w:r>
          </w:p>
          <w:p>
            <w:pPr>
              <w:spacing w:after="0" w:before="0"/>
            </w:pPr>
            <w:r>
              <w:rPr>
                <w:rFonts w:ascii="Arial" w:cs="Arial" w:eastAsia="Arial" w:hAnsi="Arial"/>
                <w:color w:val="334155"/>
                <w:sz w:val="21"/>
                <w:szCs w:val="21"/>
              </w:rPr>
              <w:t xml:space="preserve">SyncMaster is a subscription product for music licensing professionals. Underneath it is a data flywheel: every track uploaded triggers an AI evaluation pipeline that encodes sync placement intelligence into a proprietary dataset. As the dataset grows, our matching accuracy improves, our customers get better outcomes, and our data asset increases in value. Musiio sold 400 million music analyses to SoundCloud. We are building a dataset of contextual placement judgments — not just what a track sounds like, but what it is good for and why. That distinction is our moat.</w:t>
            </w:r>
          </w:p>
        </w:tc>
      </w:tr>
    </w:tbl>
    <w:p>
      <w:pPr>
        <w:spacing w:after="120" w:before="0"/>
      </w:pPr>
      <w:r>
        <w:t xml:space="preserve"/>
      </w:r>
    </w:p>
    <w:p>
      <w:pPr>
        <w:pStyle w:val="Heading2"/>
        <w:spacing w:after="120" w:before="280"/>
      </w:pPr>
      <w:r>
        <w:rPr>
          <w:rFonts w:ascii="Arial" w:cs="Arial" w:eastAsia="Arial" w:hAnsi="Arial"/>
          <w:b/>
          <w:bCs/>
          <w:color w:val="2D5F8F"/>
          <w:sz w:val="24"/>
          <w:szCs w:val="24"/>
        </w:rPr>
        <w:t xml:space="preserve">Comparable Acquisitions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2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Acquired By</w:t>
            </w:r>
          </w:p>
        </w:tc>
        <w:tc>
          <w:tcPr>
            <w:tcW w:type="dxa" w:w="5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Was Bought</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Musiio (2022)</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SoundCloud</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AI that listened to 400M+ tracks. Music intelligence at scale.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Echo Nest (2014)</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Spotify (€49.7M)</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30M song intelligence database. Music understanding infrastructure.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Gracenote</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Nielsen → TiVo
($400M+ journey)</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Music metadata at scale. The taxonomy and the volume together.</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Tunigo (2013)</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Spotify</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Playlist curation intelligence. Editorial judgment encoded in data.</w:t>
            </w:r>
          </w:p>
        </w:tc>
      </w:tr>
    </w:tbl>
    <w:p>
      <w:pPr>
        <w:spacing w:after="120" w:before="0"/>
      </w:pPr>
      <w:r>
        <w:t xml:space="preserve"/>
      </w:r>
    </w:p>
    <w:p>
      <w:pPr>
        <w:spacing w:after="100" w:before="60"/>
      </w:pPr>
      <w:r>
        <w:rPr>
          <w:rFonts w:ascii="Arial" w:cs="Arial" w:eastAsia="Arial" w:hAnsi="Arial"/>
          <w:b w:val="false"/>
          <w:bCs w:val="false"/>
          <w:i w:val="false"/>
          <w:iCs w:val="false"/>
          <w:color w:val="334155"/>
          <w:sz w:val="22"/>
          <w:szCs w:val="22"/>
        </w:rPr>
        <w:t xml:space="preserve">In every case the acquirer was not buying the engineering team or the product interface. They were buying the accumulated intelligence — the dataset that took years to build and could not be recreated from scratch without running the same operation for the same duration.</w:t>
      </w:r>
    </w:p>
    <w:p>
      <w:pPr>
        <w:spacing w:after="120" w:before="0"/>
      </w:pPr>
      <w:r>
        <w:t xml:space="preserve"/>
      </w:r>
    </w:p>
    <w:p>
      <w:pPr>
        <w:pBdr>
          <w:bottom w:val="single" w:color="CBD5E1" w:sz="4" w:space="1"/>
        </w:pBdr>
        <w:spacing w:after="160" w:before="160"/>
      </w:pPr>
      <w:r>
        <w:t xml:space="preserve"/>
      </w:r>
    </w:p>
    <w:p>
      <w:pPr>
        <w:pStyle w:val="Heading1"/>
        <w:spacing w:after="160" w:before="360"/>
      </w:pPr>
      <w:r>
        <w:rPr>
          <w:rFonts w:ascii="Arial" w:cs="Arial" w:eastAsia="Arial" w:hAnsi="Arial"/>
          <w:b/>
          <w:bCs/>
          <w:color w:val="1E3A5F"/>
          <w:sz w:val="30"/>
          <w:szCs w:val="30"/>
        </w:rPr>
        <w:t xml:space="preserve">Exit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Exit Path</w:t>
            </w:r>
          </w:p>
        </w:tc>
        <w:tc>
          <w:tcPr>
            <w:tcW w:type="dxa" w:w="64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Strategic Acquisition
(Music / Media)</w:t>
            </w:r>
          </w:p>
        </w:tc>
        <w:tc>
          <w:tcPr>
            <w:tcW w:type="dxa" w:w="6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Spotify, SoundCloud, Epidemic Sound, BMI, ASCAP, or a major publisher acquires SyncMaster as a product plus its evaluation dataset. Valuation driver: ARR × 5–10 plus dataset premium. Primary exit path.</w:t>
            </w:r>
          </w:p>
        </w:tc>
      </w:tr>
      <w:tr>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Platform Acquisition
(Enterprise Software)</w:t>
            </w:r>
          </w:p>
        </w:tc>
        <w:tc>
          <w:tcPr>
            <w:tcW w:type="dxa" w:w="6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Salesforce, Adobe, or Microsoft acquires the multi-domain AI routing architecture as an enterprise intelligence layer. Valuation driver: MRR × 8–15 plus multi-domain dataset value. Secondary path.</w:t>
            </w:r>
          </w:p>
        </w:tc>
      </w:tr>
      <w:tr>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Acqui-hire
(AI Infrastructure)</w:t>
            </w:r>
          </w:p>
        </w:tc>
        <w:tc>
          <w:tcPr>
            <w:tcW w:type="dxa" w:w="6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An AI lab acquires the team and architecture for LLM orchestration expertise. The evaluation dataset is a secondary asset. Tertiary path.</w:t>
            </w:r>
          </w:p>
        </w:tc>
      </w:tr>
    </w:tbl>
    <w:p>
      <w:pPr>
        <w:spacing w:after="120" w:before="0"/>
      </w:pPr>
      <w:r>
        <w:t xml:space="preserve"/>
      </w:r>
    </w:p>
    <w:p>
      <w:pPr>
        <w:pBdr>
          <w:bottom w:val="single" w:color="CBD5E1" w:sz="4" w:space="1"/>
        </w:pBdr>
        <w:spacing w:after="160" w:before="160"/>
      </w:pPr>
      <w:r>
        <w:t xml:space="preserve"/>
      </w:r>
    </w:p>
    <w:p>
      <w:pPr>
        <w:pStyle w:val="Heading1"/>
        <w:spacing w:after="160" w:before="360"/>
      </w:pPr>
      <w:r>
        <w:rPr>
          <w:rFonts w:ascii="Arial" w:cs="Arial" w:eastAsia="Arial" w:hAnsi="Arial"/>
          <w:b/>
          <w:bCs/>
          <w:color w:val="1E3A5F"/>
          <w:sz w:val="30"/>
          <w:szCs w:val="30"/>
        </w:rPr>
        <w:t xml:space="preserve">Immediate Priorities</w:t>
      </w:r>
    </w:p>
    <w:p>
      <w:pPr>
        <w:spacing w:after="100" w:before="60"/>
      </w:pPr>
      <w:r>
        <w:rPr>
          <w:rFonts w:ascii="Arial" w:cs="Arial" w:eastAsia="Arial" w:hAnsi="Arial"/>
          <w:b w:val="false"/>
          <w:bCs w:val="false"/>
          <w:i w:val="false"/>
          <w:iCs w:val="false"/>
          <w:color w:val="334155"/>
          <w:sz w:val="22"/>
          <w:szCs w:val="22"/>
        </w:rPr>
        <w:t xml:space="preserve">The architecture and strategy are fully designed. The moat cannot grow until the system is running. Three actions unlock everything: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4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1 — Fix the router</w:t>
            </w:r>
          </w:p>
        </w:tc>
        <w:tc>
          <w:tcPr>
            <w:tcW w:type="dxa" w:w="6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Three import lines in scripts/router.py. Five minutes. Nothing runs without this.</w:t>
            </w:r>
          </w:p>
        </w:tc>
      </w:tr>
      <w:tr>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2 — Remove local dependencies</w:t>
            </w:r>
          </w:p>
        </w:tc>
        <w:tc>
          <w:tcPr>
            <w:tcW w:type="dxa" w:w="6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Replace Ollama subprocess with Gemini 2.0 Flash API. One function change. Unblocks cloud deployment.</w:t>
            </w:r>
          </w:p>
        </w:tc>
      </w:tr>
      <w:tr>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3 — Deploy to Railway</w:t>
            </w:r>
          </w:p>
        </w:tc>
        <w:tc>
          <w:tcPr>
            <w:tcW w:type="dxa" w:w="6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Live HTTPS endpoint. Share with 10 beta users. Real data starts flowing into the evaluation log.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5F3FF" w:val="clear"/>
            <w:tcMar>
              <w:top w:type="dxa" w:w="140"/>
              <w:left w:type="dxa" w:w="200"/>
              <w:bottom w:type="dxa" w:w="140"/>
              <w:right w:type="dxa" w:w="200"/>
            </w:tcMar>
          </w:tcPr>
          <w:p>
            <w:pPr>
              <w:spacing w:after="60" w:before="0"/>
            </w:pPr>
            <w:r>
              <w:rPr>
                <w:rFonts w:ascii="Arial" w:cs="Arial" w:eastAsia="Arial" w:hAnsi="Arial"/>
                <w:b/>
                <w:bCs/>
                <w:caps/>
                <w:color w:val="7C3AED"/>
                <w:sz w:val="20"/>
                <w:szCs w:val="20"/>
              </w:rPr>
              <w:t xml:space="preserve">THE HONEST STATEMENT FOR YOUR COFOUNDER</w:t>
            </w:r>
          </w:p>
          <w:p>
            <w:pPr>
              <w:spacing w:after="0" w:before="0"/>
            </w:pPr>
            <w:r>
              <w:rPr>
                <w:rFonts w:ascii="Arial" w:cs="Arial" w:eastAsia="Arial" w:hAnsi="Arial"/>
                <w:color w:val="334155"/>
                <w:sz w:val="21"/>
                <w:szCs w:val="21"/>
              </w:rPr>
              <w:t xml:space="preserve">We have a complete architectural plan, a validated moat thesis, and real acquisition precedents. We do not yet have a working endpoint. The plan is worth nothing until the first track is uploaded and the first evaluation is written to the database. Everything in this document is contingent on that first line of working code.</w:t>
            </w:r>
          </w:p>
        </w:tc>
      </w:tr>
    </w:tbl>
    <w:p>
      <w:pPr>
        <w:spacing w:after="120" w:before="0"/>
      </w:pPr>
      <w:r>
        <w:t xml:space="preserve"/>
      </w:r>
    </w:p>
    <w:p>
      <w:pPr>
        <w:pBdr>
          <w:bottom w:val="single" w:color="CBD5E1" w:sz="4" w:space="1"/>
        </w:pBdr>
        <w:spacing w:after="160" w:before="160"/>
      </w:pPr>
      <w:r>
        <w:t xml:space="preserve"/>
      </w:r>
    </w:p>
    <w:p>
      <w:pPr>
        <w:spacing w:after="40" w:before="160"/>
        <w:jc w:val="center"/>
      </w:pPr>
      <w:r>
        <w:rPr>
          <w:rFonts w:ascii="Arial" w:cs="Arial" w:eastAsia="Arial" w:hAnsi="Arial"/>
          <w:color w:val="64748B"/>
          <w:sz w:val="18"/>
          <w:szCs w:val="18"/>
        </w:rPr>
        <w:t xml:space="preserve">SyncMaster · Confidential · May 2026</w:t>
      </w:r>
    </w:p>
    <w:p>
      <w:pPr>
        <w:spacing w:after="0" w:before="0"/>
        <w:jc w:val="center"/>
      </w:pPr>
      <w:r>
        <w:rPr>
          <w:rFonts w:ascii="Arial" w:cs="Arial" w:eastAsia="Arial" w:hAnsi="Arial"/>
          <w:i/>
          <w:iCs/>
          <w:color w:val="64748B"/>
          <w:sz w:val="18"/>
          <w:szCs w:val="18"/>
        </w:rPr>
        <w:t xml:space="preserve">Built on Dakol-AI-OS · Three-Layer Intelligence Stack · Evaluation Log Moat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2D5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2026-05-26T16:16:41.640Z</dcterms:created>
  <dcterms:modified xsi:type="dcterms:W3CDTF">2026-05-26T16:16:41.653Z</dcterms:modified>
</cp:coreProperties>
</file>

<file path=docProps/custom.xml><?xml version="1.0" encoding="utf-8"?>
<Properties xmlns="http://schemas.openxmlformats.org/officeDocument/2006/custom-properties" xmlns:vt="http://schemas.openxmlformats.org/officeDocument/2006/docPropsVTypes"/>
</file>