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Calibri" w:hAnsi="Calibri"/>
          <w:b/>
          <w:color w:val="2E74B5"/>
          <w:sz w:val="20"/>
        </w:rPr>
        <w:t>ELEC3609/9609 · GROUP 02</w:t>
      </w:r>
    </w:p>
    <w:p>
      <w:pPr>
        <w:pStyle w:val="Title"/>
      </w:pPr>
      <w:r>
        <w:t>StudyCrew Milestone Presentation Script</w:t>
      </w:r>
    </w:p>
    <w:p>
      <w:pPr>
        <w:pStyle w:val="Subtitle"/>
      </w:pPr>
      <w:r>
        <w:t>Five-minute pitch, hand-offs and Q&amp;A preparation</w:t>
      </w:r>
    </w:p>
    <w:p>
      <w:pPr>
        <w:spacing w:before="2600" w:after="240"/>
      </w:pPr>
      <w:r>
        <w:rPr>
          <w:rFonts w:ascii="Calibri" w:hAnsi="Calibri"/>
          <w:b/>
          <w:color w:val="172A3A"/>
          <w:sz w:val="30"/>
        </w:rPr>
        <w:t>A design for visible work, earlier intervention and fairer team conversations.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72A3A"/>
                <w:sz w:val="18"/>
              </w:rPr>
              <w:t>Target duration</w:t>
            </w:r>
          </w:p>
        </w:tc>
        <w:tc>
          <w:tcPr>
            <w:tcW w:type="dxa" w:w="6660"/>
            <w:tcMar>
              <w:top w:w="80" w:type="dxa"/>
              <w:start w:w="120" w:type="dxa"/>
              <w:bottom w:w="80" w:type="dxa"/>
              <w:end w:w="120" w:type="dxa"/>
            </w:tcMar>
            <w:vAlign w:val="center"/>
          </w:tcPr>
          <w:p>
            <w:r>
              <w:rPr>
                <w:rFonts w:ascii="Calibri" w:hAnsi="Calibri"/>
                <w:sz w:val="19"/>
              </w:rPr>
              <w:t>4:50-5:00</w:t>
            </w:r>
          </w:p>
        </w:tc>
      </w:tr>
      <w:tr>
        <w:tc>
          <w:tcPr>
            <w:tcW w:type="dxa" w:w="2700"/>
            <w:shd w:fill="E8EEF5"/>
            <w:tcMar>
              <w:top w:w="80" w:type="dxa"/>
              <w:start w:w="120" w:type="dxa"/>
              <w:bottom w:w="80" w:type="dxa"/>
              <w:end w:w="120" w:type="dxa"/>
            </w:tcMar>
            <w:vAlign w:val="center"/>
          </w:tcPr>
          <w:p>
            <w:r>
              <w:rPr>
                <w:rFonts w:ascii="Calibri" w:hAnsi="Calibri"/>
                <w:b/>
                <w:color w:val="172A3A"/>
                <w:sz w:val="18"/>
              </w:rPr>
              <w:t>Slides</w:t>
            </w:r>
          </w:p>
        </w:tc>
        <w:tc>
          <w:tcPr>
            <w:tcW w:type="dxa" w:w="6660"/>
            <w:tcMar>
              <w:top w:w="80" w:type="dxa"/>
              <w:start w:w="120" w:type="dxa"/>
              <w:bottom w:w="80" w:type="dxa"/>
              <w:end w:w="120" w:type="dxa"/>
            </w:tcMar>
            <w:vAlign w:val="center"/>
          </w:tcPr>
          <w:p>
            <w:r>
              <w:rPr>
                <w:rFonts w:ascii="Calibri" w:hAnsi="Calibri"/>
                <w:sz w:val="19"/>
              </w:rPr>
              <w:t>6</w:t>
            </w:r>
          </w:p>
        </w:tc>
      </w:tr>
      <w:tr>
        <w:tc>
          <w:tcPr>
            <w:tcW w:type="dxa" w:w="2700"/>
            <w:shd w:fill="E8EEF5"/>
            <w:tcMar>
              <w:top w:w="80" w:type="dxa"/>
              <w:start w:w="120" w:type="dxa"/>
              <w:bottom w:w="80" w:type="dxa"/>
              <w:end w:w="120" w:type="dxa"/>
            </w:tcMar>
            <w:vAlign w:val="center"/>
          </w:tcPr>
          <w:p>
            <w:r>
              <w:rPr>
                <w:rFonts w:ascii="Calibri" w:hAnsi="Calibri"/>
                <w:b/>
                <w:color w:val="172A3A"/>
                <w:sz w:val="18"/>
              </w:rPr>
              <w:t>Presenters</w:t>
            </w:r>
          </w:p>
        </w:tc>
        <w:tc>
          <w:tcPr>
            <w:tcW w:type="dxa" w:w="6660"/>
            <w:tcMar>
              <w:top w:w="80" w:type="dxa"/>
              <w:start w:w="120" w:type="dxa"/>
              <w:bottom w:w="80" w:type="dxa"/>
              <w:end w:w="120" w:type="dxa"/>
            </w:tcMar>
            <w:vAlign w:val="center"/>
          </w:tcPr>
          <w:p>
            <w:r>
              <w:rPr>
                <w:rFonts w:ascii="Calibri" w:hAnsi="Calibri"/>
                <w:sz w:val="19"/>
              </w:rPr>
              <w:t>Assign Speaker A/B/C/D before rehearsal</w:t>
            </w:r>
          </w:p>
        </w:tc>
      </w:tr>
    </w:tbl>
    <w:p>
      <w:r>
        <w:br w:type="page"/>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4F6F9"/>
            <w:tcMar>
              <w:top w:w="80" w:type="dxa"/>
              <w:start w:w="120" w:type="dxa"/>
              <w:bottom w:w="80" w:type="dxa"/>
              <w:end w:w="120" w:type="dxa"/>
            </w:tcMar>
            <w:vAlign w:val="center"/>
          </w:tcPr>
          <w:p>
            <w:r>
              <w:rPr>
                <w:rFonts w:ascii="Calibri" w:hAnsi="Calibri"/>
                <w:b/>
                <w:color w:val="172A3A"/>
              </w:rPr>
              <w:t xml:space="preserve">Delivery rule  </w:t>
            </w:r>
            <w:r>
              <w:rPr>
                <w:rFonts w:ascii="Calibri" w:hAnsi="Calibri"/>
              </w:rPr>
              <w:t>Use the script to rehearse, not to read. Each presenter should memorise their opening and closing sentence, understand every slide and be ready for Q&amp;A.</w:t>
            </w:r>
          </w:p>
        </w:tc>
      </w:tr>
    </w:tbl>
    <w:p>
      <w:pPr>
        <w:spacing w:after="20"/>
      </w:pPr>
    </w:p>
    <w:p>
      <w:pPr>
        <w:pStyle w:val="Heading1"/>
      </w:pPr>
      <w:r>
        <w:t>Rehearsal script</w:t>
      </w:r>
    </w:p>
    <w:tbl>
      <w:tblPr>
        <w:tblStyle w:val="TableGrid"/>
        <w:tblW w:type="dxa" w:w="9360"/>
        <w:jc w:val="left"/>
        <w:tblLayout w:type="fixed"/>
        <w:tblLook w:firstColumn="1" w:firstRow="1" w:lastColumn="0" w:lastRow="0" w:noHBand="0" w:noVBand="1" w:val="04A0"/>
        <w:tblInd w:w="120" w:type="dxa"/>
      </w:tblPr>
      <w:tblGrid>
        <w:gridCol w:w="1500"/>
        <w:gridCol w:w="1300"/>
        <w:gridCol w:w="6560"/>
      </w:tblGrid>
      <w:tr>
        <w:trPr>
          <w:tblHeader w:val="true"/>
        </w:trPr>
        <w:tc>
          <w:tcPr>
            <w:tcW w:type="dxa" w:w="1500"/>
            <w:shd w:fill="E8EEF5"/>
            <w:tcMar>
              <w:top w:w="80" w:type="dxa"/>
              <w:start w:w="120" w:type="dxa"/>
              <w:bottom w:w="80" w:type="dxa"/>
              <w:end w:w="120" w:type="dxa"/>
            </w:tcMar>
            <w:vAlign w:val="center"/>
          </w:tcPr>
          <w:p>
            <w:r>
              <w:rPr>
                <w:rFonts w:ascii="Calibri" w:hAnsi="Calibri"/>
                <w:b/>
                <w:color w:val="172A3A"/>
                <w:sz w:val="17"/>
              </w:rPr>
              <w:t>Slide / time</w:t>
            </w:r>
          </w:p>
        </w:tc>
        <w:tc>
          <w:tcPr>
            <w:tcW w:type="dxa" w:w="1300"/>
            <w:shd w:fill="E8EEF5"/>
            <w:tcMar>
              <w:top w:w="80" w:type="dxa"/>
              <w:start w:w="120" w:type="dxa"/>
              <w:bottom w:w="80" w:type="dxa"/>
              <w:end w:w="120" w:type="dxa"/>
            </w:tcMar>
            <w:vAlign w:val="center"/>
          </w:tcPr>
          <w:p>
            <w:r>
              <w:rPr>
                <w:rFonts w:ascii="Calibri" w:hAnsi="Calibri"/>
                <w:b/>
                <w:color w:val="172A3A"/>
                <w:sz w:val="17"/>
              </w:rPr>
              <w:t>Presenter</w:t>
            </w:r>
          </w:p>
        </w:tc>
        <w:tc>
          <w:tcPr>
            <w:tcW w:type="dxa" w:w="6560"/>
            <w:shd w:fill="E8EEF5"/>
            <w:tcMar>
              <w:top w:w="80" w:type="dxa"/>
              <w:start w:w="120" w:type="dxa"/>
              <w:bottom w:w="80" w:type="dxa"/>
              <w:end w:w="120" w:type="dxa"/>
            </w:tcMar>
            <w:vAlign w:val="center"/>
          </w:tcPr>
          <w:p>
            <w:r>
              <w:rPr>
                <w:rFonts w:ascii="Calibri" w:hAnsi="Calibri"/>
                <w:b/>
                <w:color w:val="172A3A"/>
                <w:sz w:val="17"/>
              </w:rPr>
              <w:t>Talk track</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1 · 0:00-0:25</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A</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StudyCrew makes group work visible before it becomes a problem. It gives student teams one place to coordinate tasks and meetings, then backs contribution conversations with transparent activity evidence.</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2 · 0:25-1:05</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A</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Today, work is often split across chat, calendars and task lists. Status becomes stale, blockers surface late, and contribution discussions depend on memory. Teams need coordination and evidence together, without a black-box score.</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3 · 1:05-2:00</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B</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StudyCrew follows a simple loop: plan the work, coordinate delivery, and review evidence. Members create and assign tasks, explain blockers, schedule meetings and RSVP. Each successful action adds an immutable event, so totals always lead back to context.</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4 · 2:00-3:10</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C</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The task board shows ownership and risk at a glance. Task detail keeps assignments, workflow and discussion together. The contribution view compares activity using both a chart and table, but deliberately avoids grading. Selecting a member reveals the events behind each total.</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5 · 3:10-4:00</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C</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The design is feasible and safe. Thirteen normalised PostgreSQL tables support explicit one-to-one, one-to-many and many-to-many relationships. Every protected request checks current membership. React, Express and PostgreSQL let us deliver in tested vertical slices.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6 · 4:00-4:50</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D</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Our approved baseline is authentication, private projects, tasks, comments, meetings, notifications and contribution evidence. We build those from weeks 7 to 10, integrate and test in weeks 10 to 11, then rehearse and harden in week 12. Search and export remain stretch goals until the core passes.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7"/>
              </w:rPr>
              <w:t>Close · 4:50-5:00</w:t>
            </w:r>
          </w:p>
        </w:tc>
        <w:tc>
          <w:tcPr>
            <w:tcW w:type="dxa" w:w="1300"/>
            <w:tcMar>
              <w:top w:w="80" w:type="dxa"/>
              <w:start w:w="120" w:type="dxa"/>
              <w:bottom w:w="80" w:type="dxa"/>
              <w:end w:w="120" w:type="dxa"/>
            </w:tcMar>
            <w:vAlign w:val="center"/>
          </w:tcPr>
          <w:p>
            <w:pPr>
              <w:spacing w:after="40" w:line="252" w:lineRule="auto"/>
            </w:pPr>
            <w:r>
              <w:rPr>
                <w:rFonts w:ascii="Calibri" w:hAnsi="Calibri"/>
                <w:sz w:val="17"/>
              </w:rPr>
              <w:t>Speaker D</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StudyCrew does not judge who worked hardest. It gives teams the shared facts to notice risk earlier, coordinate better and have fairer conversations. We are ready to validate the MVP and begin implementation.</w:t>
            </w:r>
          </w:p>
        </w:tc>
      </w:tr>
    </w:tbl>
    <w:p>
      <w:pPr>
        <w:pStyle w:val="Heading1"/>
      </w:pPr>
      <w:r>
        <w:t>Hand-off cues</w:t>
      </w:r>
    </w:p>
    <w:tbl>
      <w:tblPr>
        <w:tblStyle w:val="TableGrid"/>
        <w:tblW w:type="dxa" w:w="9360"/>
        <w:jc w:val="left"/>
        <w:tblLayout w:type="fixed"/>
        <w:tblLook w:firstColumn="1" w:firstRow="1" w:lastColumn="0" w:lastRow="0" w:noHBand="0" w:noVBand="1" w:val="04A0"/>
        <w:tblInd w:w="120" w:type="dxa"/>
      </w:tblPr>
      <w:tblGrid>
        <w:gridCol w:w="1200"/>
        <w:gridCol w:w="6660"/>
        <w:gridCol w:w="1500"/>
      </w:tblGrid>
      <w:tr>
        <w:trPr>
          <w:tblHeader w:val="true"/>
        </w:trPr>
        <w:tc>
          <w:tcPr>
            <w:tcW w:type="dxa" w:w="1200"/>
            <w:shd w:fill="E8EEF5"/>
            <w:tcMar>
              <w:top w:w="80" w:type="dxa"/>
              <w:start w:w="120" w:type="dxa"/>
              <w:bottom w:w="80" w:type="dxa"/>
              <w:end w:w="120" w:type="dxa"/>
            </w:tcMar>
            <w:vAlign w:val="center"/>
          </w:tcPr>
          <w:p>
            <w:r>
              <w:rPr>
                <w:rFonts w:ascii="Calibri" w:hAnsi="Calibri"/>
                <w:b/>
                <w:color w:val="172A3A"/>
                <w:sz w:val="18"/>
              </w:rPr>
              <w:t>From</w:t>
            </w:r>
          </w:p>
        </w:tc>
        <w:tc>
          <w:tcPr>
            <w:tcW w:type="dxa" w:w="6660"/>
            <w:shd w:fill="E8EEF5"/>
            <w:tcMar>
              <w:top w:w="80" w:type="dxa"/>
              <w:start w:w="120" w:type="dxa"/>
              <w:bottom w:w="80" w:type="dxa"/>
              <w:end w:w="120" w:type="dxa"/>
            </w:tcMar>
            <w:vAlign w:val="center"/>
          </w:tcPr>
          <w:p>
            <w:r>
              <w:rPr>
                <w:rFonts w:ascii="Calibri" w:hAnsi="Calibri"/>
                <w:b/>
                <w:color w:val="172A3A"/>
                <w:sz w:val="18"/>
              </w:rPr>
              <w:t>Cue</w:t>
            </w:r>
          </w:p>
        </w:tc>
        <w:tc>
          <w:tcPr>
            <w:tcW w:type="dxa" w:w="1500"/>
            <w:shd w:fill="E8EEF5"/>
            <w:tcMar>
              <w:top w:w="80" w:type="dxa"/>
              <w:start w:w="120" w:type="dxa"/>
              <w:bottom w:w="80" w:type="dxa"/>
              <w:end w:w="120" w:type="dxa"/>
            </w:tcMar>
            <w:vAlign w:val="center"/>
          </w:tcPr>
          <w:p>
            <w:r>
              <w:rPr>
                <w:rFonts w:ascii="Calibri" w:hAnsi="Calibri"/>
                <w:b/>
                <w:color w:val="172A3A"/>
                <w:sz w:val="18"/>
              </w:rPr>
              <w:t>To</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8"/>
              </w:rPr>
              <w:t>A</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So what changes when planning and evidence share one workflow?</w:t>
            </w:r>
          </w:p>
        </w:tc>
        <w:tc>
          <w:tcPr>
            <w:tcW w:type="dxa" w:w="1500"/>
            <w:tcMar>
              <w:top w:w="80" w:type="dxa"/>
              <w:start w:w="120" w:type="dxa"/>
              <w:bottom w:w="80" w:type="dxa"/>
              <w:end w:w="120" w:type="dxa"/>
            </w:tcMar>
            <w:vAlign w:val="center"/>
          </w:tcPr>
          <w:p>
            <w:pPr>
              <w:spacing w:after="40" w:line="252" w:lineRule="auto"/>
            </w:pPr>
            <w:r>
              <w:rPr>
                <w:rFonts w:ascii="Calibri" w:hAnsi="Calibri"/>
                <w:sz w:val="18"/>
              </w:rPr>
              <w:t>B</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8"/>
              </w:rPr>
              <w:t>B</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The wireframes show how that loop feels in practice.</w:t>
            </w:r>
          </w:p>
        </w:tc>
        <w:tc>
          <w:tcPr>
            <w:tcW w:type="dxa" w:w="1500"/>
            <w:tcMar>
              <w:top w:w="80" w:type="dxa"/>
              <w:start w:w="120" w:type="dxa"/>
              <w:bottom w:w="80" w:type="dxa"/>
              <w:end w:w="120" w:type="dxa"/>
            </w:tcMar>
            <w:vAlign w:val="center"/>
          </w:tcPr>
          <w:p>
            <w:pPr>
              <w:spacing w:after="40" w:line="252" w:lineRule="auto"/>
            </w:pPr>
            <w:r>
              <w:rPr>
                <w:rFonts w:ascii="Calibri" w:hAnsi="Calibri"/>
                <w:sz w:val="18"/>
              </w:rPr>
              <w:t>C</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8"/>
              </w:rPr>
              <w:t>C</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A clear interface only matters if the system is feasible to build.</w:t>
            </w:r>
          </w:p>
        </w:tc>
        <w:tc>
          <w:tcPr>
            <w:tcW w:type="dxa" w:w="1500"/>
            <w:tcMar>
              <w:top w:w="80" w:type="dxa"/>
              <w:start w:w="120" w:type="dxa"/>
              <w:bottom w:w="80" w:type="dxa"/>
              <w:end w:w="120" w:type="dxa"/>
            </w:tcMar>
            <w:vAlign w:val="center"/>
          </w:tcPr>
          <w:p>
            <w:pPr>
              <w:spacing w:after="40" w:line="252" w:lineRule="auto"/>
            </w:pPr>
            <w:r>
              <w:rPr>
                <w:rFonts w:ascii="Calibri" w:hAnsi="Calibri"/>
                <w:sz w:val="18"/>
              </w:rPr>
              <w:t>C (technical)</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8"/>
              </w:rPr>
              <w:t>C</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That architecture gives us a disciplined delivery plan.</w:t>
            </w:r>
          </w:p>
        </w:tc>
        <w:tc>
          <w:tcPr>
            <w:tcW w:type="dxa" w:w="1500"/>
            <w:tcMar>
              <w:top w:w="80" w:type="dxa"/>
              <w:start w:w="120" w:type="dxa"/>
              <w:bottom w:w="80" w:type="dxa"/>
              <w:end w:w="120" w:type="dxa"/>
            </w:tcMar>
            <w:vAlign w:val="center"/>
          </w:tcPr>
          <w:p>
            <w:pPr>
              <w:spacing w:after="40" w:line="252" w:lineRule="auto"/>
            </w:pPr>
            <w:r>
              <w:rPr>
                <w:rFonts w:ascii="Calibri" w:hAnsi="Calibri"/>
                <w:sz w:val="18"/>
              </w:rPr>
              <w:t>D</w:t>
            </w:r>
          </w:p>
        </w:tc>
      </w:tr>
    </w:tbl>
    <w:p>
      <w:pPr>
        <w:pStyle w:val="Heading1"/>
      </w:pPr>
      <w:r>
        <w:t>Likely Q&amp;A</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r>
              <w:rPr>
                <w:rFonts w:ascii="Calibri" w:hAnsi="Calibri"/>
                <w:b/>
                <w:color w:val="172A3A"/>
                <w:sz w:val="17"/>
              </w:rPr>
              <w:t>Question</w:t>
            </w:r>
          </w:p>
        </w:tc>
        <w:tc>
          <w:tcPr>
            <w:tcW w:type="dxa" w:w="6360"/>
            <w:shd w:fill="E8EEF5"/>
            <w:tcMar>
              <w:top w:w="80" w:type="dxa"/>
              <w:start w:w="120" w:type="dxa"/>
              <w:bottom w:w="80" w:type="dxa"/>
              <w:end w:w="120" w:type="dxa"/>
            </w:tcMar>
            <w:vAlign w:val="center"/>
          </w:tcPr>
          <w:p>
            <w:r>
              <w:rPr>
                <w:rFonts w:ascii="Calibri" w:hAnsi="Calibri"/>
                <w:b/>
                <w:color w:val="172A3A"/>
                <w:sz w:val="17"/>
              </w:rPr>
              <w:t>Answer</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Is this just Trello?</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Task planning is familiar, but StudyCrew integrates meeting response and traceable contribution evidence designed for student teams.</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Do activity counts prove contribution quality?</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No. We explicitly avoid scoring or grading; counts are starting points with drill-down context.</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How do you stop students gaming the activity feed?</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The feed records action types and context, not a score. Teams inspect source events; meaningless volume gains no automatic advantage.</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Why 13 tables?</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Each table has one responsibility. Junction tables prevent repeating groups and support the required many-to-many relationships without duplication.</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How is privacy enforced?</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Every server-side project read and mutation checks validated session identity and current membership; exports recheck access at download time.</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What happens if scope slips?</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Search and export are already outside the approved baseline. We freeze the MVP and protect core acceptance and security gates.</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Can the team finish this?</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The system is split into four vertical slices with explicit tables, views and acceptance tests; no external paid API is required.</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7"/>
              </w:rPr>
              <w:t>What is the innovation?</w:t>
            </w:r>
          </w:p>
        </w:tc>
        <w:tc>
          <w:tcPr>
            <w:tcW w:type="dxa" w:w="6360"/>
            <w:tcMar>
              <w:top w:w="80" w:type="dxa"/>
              <w:start w:w="120" w:type="dxa"/>
              <w:bottom w:w="80" w:type="dxa"/>
              <w:end w:w="120" w:type="dxa"/>
            </w:tcMar>
            <w:vAlign w:val="center"/>
          </w:tcPr>
          <w:p>
            <w:pPr>
              <w:spacing w:after="40" w:line="252" w:lineRule="auto"/>
            </w:pPr>
            <w:r>
              <w:rPr>
                <w:rFonts w:ascii="Calibri" w:hAnsi="Calibri"/>
                <w:sz w:val="17"/>
              </w:rPr>
              <w:t>Evidence is captured as a natural by-product of coordination, remains inspectable and is intentionally separated from automated judgement.</w:t>
            </w:r>
          </w:p>
        </w:tc>
      </w:tr>
    </w:tbl>
    <w:p>
      <w:pPr>
        <w:pStyle w:val="Heading1"/>
      </w:pPr>
      <w:r>
        <w:t>Final rehearsal checklist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r>
              <w:rPr>
                <w:rFonts w:ascii="Calibri" w:hAnsi="Calibri"/>
                <w:b/>
                <w:color w:val="172A3A"/>
                <w:sz w:val="18"/>
              </w:rPr>
              <w:t>Check</w:t>
            </w:r>
          </w:p>
        </w:tc>
        <w:tc>
          <w:tcPr>
            <w:tcW w:type="dxa" w:w="6960"/>
            <w:shd w:fill="E8EEF5"/>
            <w:tcMar>
              <w:top w:w="80" w:type="dxa"/>
              <w:start w:w="120" w:type="dxa"/>
              <w:bottom w:w="80" w:type="dxa"/>
              <w:end w:w="120" w:type="dxa"/>
            </w:tcMar>
            <w:vAlign w:val="center"/>
          </w:tcPr>
          <w:p>
            <w:r>
              <w:rPr>
                <w:rFonts w:ascii="Calibri" w:hAnsi="Calibri"/>
                <w:b/>
                <w:color w:val="172A3A"/>
                <w:sz w:val="18"/>
              </w:rPr>
              <w:t>Pass condition</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Timing</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Two full rehearsals finish between 4:50 and 5:00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Participation</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Every member has a speaking segment and can answer one technical and one product question</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Slides</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No presenter reads visible text; transitions reference the next claim</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Fallback</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Deck exported to PDF and available offline</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Q&amp;A</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Every member can explain the MVP boundary, ERD relationships and evidence-not-grading principle</w:t>
            </w:r>
          </w:p>
        </w:tc>
      </w:tr>
    </w:tbl>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STUDYCREW  |  ELEC3609/9609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