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rFonts w:ascii="Times New Roman" w:hAnsi="Times New Roman"/>
          <w:b/>
          <w:color w:val="0B2545"/>
          <w:sz w:val="36"/>
        </w:rPr>
        <w:t>Deep Learning-Based Air Quality Index Forecasting and Failure Mode Analysis Using IoT Environmental Sensor Streams</w:t>
      </w:r>
    </w:p>
    <w:p>
      <w:pPr>
        <w:spacing w:after="280"/>
        <w:jc w:val="center"/>
      </w:pPr>
      <w:r>
        <w:rPr>
          <w:rFonts w:ascii="Times New Roman" w:hAnsi="Times New Roman"/>
          <w:b/>
          <w:sz w:val="21"/>
        </w:rPr>
        <w:t>Final Year Capstone Research Group (Track A)</w:t>
        <w:br/>
      </w:r>
      <w:r>
        <w:rPr>
          <w:rFonts w:ascii="Times New Roman" w:hAnsi="Times New Roman"/>
          <w:sz w:val="19"/>
        </w:rPr>
        <w:t>Department of Computer Science &amp; Engineering and Electronics Engineering, Rajalakshmi Engineering College, Chennai, India</w:t>
        <w:br/>
      </w:r>
      <w:r>
        <w:rPr>
          <w:rFonts w:ascii="Times New Roman" w:hAnsi="Times New Roman"/>
          <w:i/>
          <w:sz w:val="18"/>
        </w:rPr>
        <w:t>Email: {daksh.capstone, team.tracka}@rajalakshmi.edu.in</w:t>
      </w:r>
    </w:p>
    <w:tbl>
      <w:tblPr>
        <w:tblW w:type="auto" w:w="0"/>
        <w:jc w:val="center"/>
        <w:tblLook w:firstColumn="1" w:firstRow="1" w:lastColumn="0" w:lastRow="0" w:noHBand="0" w:noVBand="1" w:val="04A0"/>
      </w:tblPr>
      <w:tblGrid>
        <w:gridCol w:w="10368"/>
      </w:tblGrid>
      <w:tr>
        <w:tc>
          <w:tcPr>
            <w:tcW w:type="dxa" w:w="10368"/>
            <w:shd w:fill="F4F6F9"/>
            <w:tcMar>
              <w:top w:w="140" w:type="dxa"/>
              <w:bottom w:w="140" w:type="dxa"/>
              <w:left w:w="180" w:type="dxa"/>
              <w:right w:w="180" w:type="dxa"/>
            </w:tcMar>
            <w:tcBorders>
              <w:top w:val="single" w:sz="6" w:color="0B2545"/>
              <w:bottom w:val="single" w:sz="6" w:color="0B2545"/>
              <w:left w:val="none"/>
              <w:right w:val="none"/>
            </w:tcBorders>
          </w:tcPr>
          <w:p>
            <w:pPr>
              <w:spacing w:line="269" w:lineRule="auto" w:after="120"/>
              <w:jc w:val="both"/>
            </w:pPr>
            <w:r>
              <w:rPr>
                <w:rFonts w:ascii="Times New Roman" w:hAnsi="Times New Roman"/>
                <w:b/>
                <w:sz w:val="18"/>
              </w:rPr>
              <w:t xml:space="preserve">Abstract— </w:t>
            </w:r>
            <w:r>
              <w:rPr>
                <w:rFonts w:ascii="Times New Roman" w:hAnsi="Times New Roman"/>
                <w:sz w:val="18"/>
              </w:rPr>
              <w:t>Atmospheric air pollution is a critical global public health hazard characterized by highly non-linear spatio-temporal dynamics influenced by localized anthropogenic emissions and meteorological boundary conditions. Although governmental ambient monitoring stations provide high-precision regional observations, their spatial sparsity precludes high-resolution assessment of institutional micro-climates, such as university campuses. In this paper, we propose an intelligent, fault-tolerant deep learning framework for multi-pollutant environmental telemetry and Air Quality Index (AQI) forecasting. Utilizing multi-sensor IoT streams measuring PM2.5, PM10, NO2, SO2, CO, O3, ambient temperature, and relative humidity, the system implements a piecewise linear Central Pollution Control Board (CPCB) sub-index calculation engine. To address long-term temporal dependencies and diurnal cycles, we implement and evaluate a Bidirectional Long Short-Term Memory network integrated with a Temporal Attention Mechanism (BiLSTM-Attention) alongside a Multi-Head Self-Attention Time-Series Transformer. Extensive empirical benchmarking on an annual campus dataset (8,760 hourly records) demonstrates that the BiLSTM-Attention architecture achieves superior performance, yielding an MAE of 12.09, RMSE of 15.80, R² score of 0.8144, and an AQI category classification accuracy of 77.8%, significantly outperforming standard Linear Regression (R²: 0.7005) and Random Forest baselines (R²: 0.7953). Furthermore, we present a rigorous failure mode stress-testing protocol evaluating model resilience against Gaussian sensor noise (σ ≤ 0.60), missing packet loss bursts (up to 50%), and cross-seasonal meteorological inversions.</w:t>
            </w:r>
          </w:p>
          <w:p>
            <w:pPr>
              <w:spacing w:line="269" w:lineRule="auto"/>
              <w:jc w:val="both"/>
            </w:pPr>
            <w:r>
              <w:rPr>
                <w:rFonts w:ascii="Times New Roman" w:hAnsi="Times New Roman"/>
                <w:b/>
                <w:i/>
                <w:sz w:val="18"/>
              </w:rPr>
              <w:t xml:space="preserve">Index Terms— </w:t>
            </w:r>
            <w:r>
              <w:rPr>
                <w:rFonts w:ascii="Times New Roman" w:hAnsi="Times New Roman"/>
                <w:sz w:val="18"/>
              </w:rPr>
              <w:t>Air Quality Index (AQI), Deep Learning, Long Short-Term Memory (LSTM), Temporal Attention Mechanism, Time-Series Transformer, Internet of Things (IoT), Failure Mode Analysis, Sensor Noise Robustness, CPCB Standard.</w:t>
            </w:r>
          </w:p>
        </w:tc>
      </w:tr>
    </w:tbl>
    <w:p>
      <w:pPr>
        <w:spacing w:after="200"/>
      </w:pPr>
    </w:p>
    <w:p>
      <w:pPr>
        <w:keepNext/>
        <w:spacing w:before="280" w:after="80"/>
        <w:jc w:val="left"/>
      </w:pPr>
      <w:r>
        <w:rPr>
          <w:rFonts w:ascii="Times New Roman" w:hAnsi="Times New Roman"/>
          <w:b/>
          <w:color w:val="0B2545"/>
          <w:sz w:val="22"/>
        </w:rPr>
        <w:t>I. INTRODUCTION</w:t>
      </w:r>
    </w:p>
    <w:p>
      <w:pPr>
        <w:keepNext/>
        <w:spacing w:before="200" w:after="60"/>
        <w:jc w:val="left"/>
      </w:pPr>
      <w:r>
        <w:rPr>
          <w:rFonts w:ascii="Times New Roman" w:hAnsi="Times New Roman"/>
          <w:b/>
          <w:i/>
          <w:color w:val="134074"/>
          <w:sz w:val="20"/>
        </w:rPr>
        <w:t>A. Background &amp; Project Domain</w:t>
      </w:r>
    </w:p>
    <w:p>
      <w:pPr>
        <w:spacing w:line="276" w:lineRule="auto" w:after="120"/>
        <w:jc w:val="both"/>
      </w:pPr>
      <w:r>
        <w:rPr>
          <w:rFonts w:ascii="Times New Roman" w:hAnsi="Times New Roman"/>
          <w:sz w:val="19"/>
        </w:rPr>
        <w:t>Rapid urbanization, expanding vehicular transit, and concentrated institutional activities have elevated ambient particulate matter and gaseous toxicant concentrations to alarming thresholds globally. Atmospheric particulate matter with aerodynamic diameter ≤ 2.5 µm (PM2.5) is classified as a Group 1 human carcinogen by the International Agency for Research on Cancer (IARC), penetrating pulmonary alveoli and translocating directly into systemic cardiovascular circulation. Consequently, accurate short- and medium-term forecasting of the Air Quality Index (AQI) is paramount for proactive institutional public health management, campus sports scheduling, and localized traffic routing.</w:t>
      </w:r>
    </w:p>
    <w:p>
      <w:pPr>
        <w:spacing w:line="276" w:lineRule="auto" w:after="120"/>
        <w:jc w:val="both"/>
      </w:pPr>
      <w:r>
        <w:rPr>
          <w:rFonts w:ascii="Times New Roman" w:hAnsi="Times New Roman"/>
          <w:sz w:val="19"/>
        </w:rPr>
        <w:t>Environmental monitoring within educational and research institutions operates under distinct micro-climatic dynamics. University campuses feature concentrated emission nodes—including main entrance traffic gateways, diesel generator testing zones, engineering workshops, and dense student residential quadrangles—that deviate substantially from macro-level municipal averages. Developing a dedicated deep learning and IoT telemetry pipeline addresses this critical environmental monitoring gap.</w:t>
      </w:r>
    </w:p>
    <w:p>
      <w:pPr>
        <w:keepNext/>
        <w:spacing w:before="200" w:after="60"/>
        <w:jc w:val="left"/>
      </w:pPr>
      <w:r>
        <w:rPr>
          <w:rFonts w:ascii="Times New Roman" w:hAnsi="Times New Roman"/>
          <w:b/>
          <w:i/>
          <w:color w:val="134074"/>
          <w:sz w:val="20"/>
        </w:rPr>
        <w:t>B. Refined Problem Statement</w:t>
      </w:r>
    </w:p>
    <w:p>
      <w:pPr>
        <w:spacing w:line="276" w:lineRule="auto" w:after="120"/>
        <w:jc w:val="both"/>
      </w:pPr>
      <w:r>
        <w:rPr>
          <w:rFonts w:ascii="Times New Roman" w:hAnsi="Times New Roman"/>
          <w:sz w:val="19"/>
        </w:rPr>
        <w:t>Existing atmospheric monitoring systems predominantly rely on governmental Continuous Ambient Air Quality Monitoring Stations (CAAQMS). While precise, these stations present three fundamental limitations:</w:t>
      </w:r>
    </w:p>
    <w:p>
      <w:pPr>
        <w:pStyle w:val="ListBullet"/>
        <w:spacing w:line="276" w:lineRule="auto" w:after="80"/>
        <w:jc w:val="both"/>
      </w:pPr>
      <w:r>
        <w:rPr>
          <w:rFonts w:ascii="Times New Roman" w:hAnsi="Times New Roman"/>
          <w:b/>
          <w:sz w:val="19"/>
        </w:rPr>
        <w:t xml:space="preserve">Spatial Sparsity and Capital Cost: </w:t>
      </w:r>
      <w:r>
        <w:rPr>
          <w:rFonts w:ascii="Times New Roman" w:hAnsi="Times New Roman"/>
          <w:sz w:val="19"/>
        </w:rPr>
        <w:t>CAAQMS monitors are extremely sparse (typically 1 station per 25–50 km²) and capital-intensive ($50,000–$100,000 per station), creating blind spots for localized institutional campuses.</w:t>
      </w:r>
    </w:p>
    <w:p>
      <w:pPr>
        <w:pStyle w:val="ListBullet"/>
        <w:spacing w:line="276" w:lineRule="auto" w:after="80"/>
        <w:jc w:val="both"/>
      </w:pPr>
      <w:r>
        <w:rPr>
          <w:rFonts w:ascii="Times New Roman" w:hAnsi="Times New Roman"/>
          <w:b/>
          <w:sz w:val="19"/>
        </w:rPr>
        <w:t xml:space="preserve">Low-Cost IoT Sensor Hardware Vulnerabilities: </w:t>
      </w:r>
      <w:r>
        <w:rPr>
          <w:rFonts w:ascii="Times New Roman" w:hAnsi="Times New Roman"/>
          <w:sz w:val="19"/>
        </w:rPr>
        <w:t>When low-cost optical particle counters (e.g., Sensirion SPS30) and electrochemical gas sensors are deployed locally, they suffer from high-frequency sensor noise, thermal calibration drift, and packet loss bursts caused by intermittent power and network drops.</w:t>
      </w:r>
    </w:p>
    <w:p>
      <w:pPr>
        <w:pStyle w:val="ListBullet"/>
        <w:spacing w:line="276" w:lineRule="auto" w:after="80"/>
        <w:jc w:val="both"/>
      </w:pPr>
      <w:r>
        <w:rPr>
          <w:rFonts w:ascii="Times New Roman" w:hAnsi="Times New Roman"/>
          <w:b/>
          <w:sz w:val="19"/>
        </w:rPr>
        <w:t xml:space="preserve">Severe Seasonal and Meteorological Shifts: </w:t>
      </w:r>
      <w:r>
        <w:rPr>
          <w:rFonts w:ascii="Times New Roman" w:hAnsi="Times New Roman"/>
          <w:sz w:val="19"/>
        </w:rPr>
        <w:t>Winter thermal inversions trap particulate matter close to the surface, while intense summer solar irradiance accelerates photochemical ozone (O3) synthesis, causing severe distribution shifts that cause static machine learning models to fail.</w:t>
      </w:r>
    </w:p>
    <w:p>
      <w:pPr>
        <w:spacing w:line="276" w:lineRule="auto" w:after="120"/>
        <w:jc w:val="both"/>
      </w:pPr>
      <w:r>
        <w:rPr>
          <w:rFonts w:ascii="Times New Roman" w:hAnsi="Times New Roman"/>
          <w:sz w:val="19"/>
        </w:rPr>
        <w:t>Therefore, the central research question addressed in this project is: How can localized multi-sensor IoT telemetry be preprocessed, normalized, and modeled through attention-driven deep recurrent neural networks to achieve robust multi-pollutant AQI forecasting 24 hours ahead, while maintaining explicit fault tolerance against sensor noise, packet loss bursts, and seasonal distribution shifts?</w:t>
      </w:r>
    </w:p>
    <w:p>
      <w:pPr>
        <w:keepNext/>
        <w:spacing w:before="200" w:after="60"/>
        <w:jc w:val="left"/>
      </w:pPr>
      <w:r>
        <w:rPr>
          <w:rFonts w:ascii="Times New Roman" w:hAnsi="Times New Roman"/>
          <w:b/>
          <w:i/>
          <w:color w:val="134074"/>
          <w:sz w:val="20"/>
        </w:rPr>
        <w:t>C. Need and Significance of the Proposed Project</w:t>
      </w:r>
    </w:p>
    <w:p>
      <w:pPr>
        <w:spacing w:line="276" w:lineRule="auto" w:after="120"/>
        <w:jc w:val="both"/>
      </w:pPr>
      <w:r>
        <w:rPr>
          <w:rFonts w:ascii="Times New Roman" w:hAnsi="Times New Roman"/>
          <w:sz w:val="19"/>
        </w:rPr>
        <w:t>The significance of this investigation lies in bridging the divide between theoretical deep learning time-series architectures and practical, noise-resilient environmental edge computing:</w:t>
      </w:r>
    </w:p>
    <w:p>
      <w:pPr>
        <w:pStyle w:val="ListBullet"/>
        <w:spacing w:line="276" w:lineRule="auto" w:after="80"/>
        <w:jc w:val="both"/>
      </w:pPr>
      <w:r>
        <w:rPr>
          <w:rFonts w:ascii="Times New Roman" w:hAnsi="Times New Roman"/>
          <w:b/>
          <w:sz w:val="19"/>
        </w:rPr>
        <w:t xml:space="preserve">Proactive Public Health Protection: </w:t>
      </w:r>
      <w:r>
        <w:rPr>
          <w:rFonts w:ascii="Times New Roman" w:hAnsi="Times New Roman"/>
          <w:sz w:val="19"/>
        </w:rPr>
        <w:t>Enables campus administrators, athletic departments, and facility managers to receive 24-hour advance warnings of poor air quality episodes, allowing automated scheduling adjustments and protective advisories.</w:t>
      </w:r>
    </w:p>
    <w:p>
      <w:pPr>
        <w:pStyle w:val="ListBullet"/>
        <w:spacing w:line="276" w:lineRule="auto" w:after="80"/>
        <w:jc w:val="both"/>
      </w:pPr>
      <w:r>
        <w:rPr>
          <w:rFonts w:ascii="Times New Roman" w:hAnsi="Times New Roman"/>
          <w:b/>
          <w:sz w:val="19"/>
        </w:rPr>
        <w:t xml:space="preserve">Standardized Multi-Pollutant Indexing: </w:t>
      </w:r>
      <w:r>
        <w:rPr>
          <w:rFonts w:ascii="Times New Roman" w:hAnsi="Times New Roman"/>
          <w:sz w:val="19"/>
        </w:rPr>
        <w:t>Unlike academic models that forecast arbitrary raw concentrations, the proposed framework embeds official Central Pollution Control Board (CPCB) and US EPA piecewise linear sub-indices, translating raw telemetry into actionable health categories (Good to Severe).</w:t>
      </w:r>
    </w:p>
    <w:p>
      <w:pPr>
        <w:pStyle w:val="ListBullet"/>
        <w:spacing w:line="276" w:lineRule="auto" w:after="80"/>
        <w:jc w:val="both"/>
      </w:pPr>
      <w:r>
        <w:rPr>
          <w:rFonts w:ascii="Times New Roman" w:hAnsi="Times New Roman"/>
          <w:b/>
          <w:sz w:val="19"/>
        </w:rPr>
        <w:t xml:space="preserve">Robustness-First Machine Learning: </w:t>
      </w:r>
      <w:r>
        <w:rPr>
          <w:rFonts w:ascii="Times New Roman" w:hAnsi="Times New Roman"/>
          <w:sz w:val="19"/>
        </w:rPr>
        <w:t>Provides an empirical stress-testing benchmark quantifying neural degradation under hardware failure modes, establishing operational safety thresholds for field IoT deployments.</w:t>
      </w:r>
    </w:p>
    <w:p>
      <w:pPr>
        <w:keepNext/>
        <w:spacing w:before="200" w:after="60"/>
        <w:jc w:val="left"/>
      </w:pPr>
      <w:r>
        <w:rPr>
          <w:rFonts w:ascii="Times New Roman" w:hAnsi="Times New Roman"/>
          <w:b/>
          <w:i/>
          <w:color w:val="134074"/>
          <w:sz w:val="20"/>
        </w:rPr>
        <w:t>D. Research Gap Analysis</w:t>
      </w:r>
    </w:p>
    <w:p>
      <w:pPr>
        <w:spacing w:line="276" w:lineRule="auto" w:after="120"/>
        <w:jc w:val="both"/>
      </w:pPr>
      <w:r>
        <w:rPr>
          <w:rFonts w:ascii="Times New Roman" w:hAnsi="Times New Roman"/>
          <w:sz w:val="19"/>
        </w:rPr>
        <w:t>Substantial literature exists in atmospheric pollution modeling. However, existing works exhibit a pronounced methodological dichotomy:</w:t>
      </w:r>
    </w:p>
    <w:p>
      <w:pPr>
        <w:pStyle w:val="ListBullet"/>
        <w:spacing w:line="276" w:lineRule="auto" w:after="80"/>
        <w:jc w:val="both"/>
      </w:pPr>
      <w:r>
        <w:rPr>
          <w:rFonts w:ascii="Times New Roman" w:hAnsi="Times New Roman"/>
          <w:b/>
          <w:sz w:val="19"/>
        </w:rPr>
        <w:t xml:space="preserve">Isolated Single-Pollutant Forecasting: </w:t>
      </w:r>
      <w:r>
        <w:rPr>
          <w:rFonts w:ascii="Times New Roman" w:hAnsi="Times New Roman"/>
          <w:sz w:val="19"/>
        </w:rPr>
        <w:t>The majority of existing deep learning studies focus exclusively on PM2.5 or PM10 in isolation, ignoring synergistic chemical interactions with gaseous co-pollutants (NO2, SO2, CO, O3) and meteorological drivers (temperature, humidity, wind velocity).</w:t>
      </w:r>
    </w:p>
    <w:p>
      <w:pPr>
        <w:pStyle w:val="ListBullet"/>
        <w:spacing w:line="276" w:lineRule="auto" w:after="80"/>
        <w:jc w:val="both"/>
      </w:pPr>
      <w:r>
        <w:rPr>
          <w:rFonts w:ascii="Times New Roman" w:hAnsi="Times New Roman"/>
          <w:b/>
          <w:sz w:val="19"/>
        </w:rPr>
        <w:t xml:space="preserve">Unrealistic Clean-Data Assumptions: </w:t>
      </w:r>
      <w:r>
        <w:rPr>
          <w:rFonts w:ascii="Times New Roman" w:hAnsi="Times New Roman"/>
          <w:sz w:val="19"/>
        </w:rPr>
        <w:t>Academic benchmarks overwhelmingly train models on clean, curated datasets, ignoring the catastrophic degradation caused by IoT packet drops and optical sensor noise in real-world deployments.</w:t>
      </w:r>
    </w:p>
    <w:p>
      <w:pPr>
        <w:pStyle w:val="ListBullet"/>
        <w:spacing w:line="276" w:lineRule="auto" w:after="80"/>
        <w:jc w:val="both"/>
      </w:pPr>
      <w:r>
        <w:rPr>
          <w:rFonts w:ascii="Times New Roman" w:hAnsi="Times New Roman"/>
          <w:b/>
          <w:sz w:val="19"/>
        </w:rPr>
        <w:t xml:space="preserve">Lack of Attention-Based Temporal Attribution: </w:t>
      </w:r>
      <w:r>
        <w:rPr>
          <w:rFonts w:ascii="Times New Roman" w:hAnsi="Times New Roman"/>
          <w:sz w:val="19"/>
        </w:rPr>
        <w:t>Standard LSTM and RNN models treat all historical time steps homogeneously, suffering from memory decay over 24-hour lookback horizons and failing to isolate rush-hour diurnal peaks.</w:t>
      </w:r>
    </w:p>
    <w:p>
      <w:pPr>
        <w:keepNext/>
        <w:spacing w:before="200" w:after="60"/>
        <w:jc w:val="left"/>
      </w:pPr>
      <w:r>
        <w:rPr>
          <w:rFonts w:ascii="Times New Roman" w:hAnsi="Times New Roman"/>
          <w:b/>
          <w:i/>
          <w:color w:val="134074"/>
          <w:sz w:val="20"/>
        </w:rPr>
        <w:t>E. Research Objectives</w:t>
      </w:r>
    </w:p>
    <w:p>
      <w:pPr>
        <w:spacing w:line="276" w:lineRule="auto" w:after="120"/>
        <w:jc w:val="both"/>
      </w:pPr>
      <w:r>
        <w:rPr>
          <w:rFonts w:ascii="Times New Roman" w:hAnsi="Times New Roman"/>
          <w:sz w:val="19"/>
        </w:rPr>
        <w:t>The primary objective of this Capstone Project is to formulate, optimize, and deploy an end-to-end deep learning framework for accurate, resilient 24-hour Air Quality Index (AQI) forecasting utilizing localized campus IoT environmental telemetry.</w:t>
      </w:r>
    </w:p>
    <w:p>
      <w:pPr>
        <w:spacing w:line="276" w:lineRule="auto" w:after="120"/>
        <w:jc w:val="both"/>
      </w:pPr>
      <w:r>
        <w:rPr>
          <w:rFonts w:ascii="Times New Roman" w:hAnsi="Times New Roman"/>
          <w:sz w:val="19"/>
        </w:rPr>
        <w:t>The specific technical objectives are defined as follows:</w:t>
      </w:r>
    </w:p>
    <w:p>
      <w:pPr>
        <w:pStyle w:val="ListBullet"/>
        <w:spacing w:line="276" w:lineRule="auto" w:after="80"/>
        <w:jc w:val="both"/>
      </w:pPr>
      <w:r>
        <w:rPr>
          <w:rFonts w:ascii="Times New Roman" w:hAnsi="Times New Roman"/>
          <w:b/>
          <w:sz w:val="19"/>
        </w:rPr>
        <w:t xml:space="preserve">Objective 1: </w:t>
      </w:r>
      <w:r>
        <w:rPr>
          <w:rFonts w:ascii="Times New Roman" w:hAnsi="Times New Roman"/>
          <w:sz w:val="19"/>
        </w:rPr>
        <w:t>Develop an IoT telemetry ingestion and automated imputation engine implementing official CPCB piecewise linear AQI breakpoint calculations.</w:t>
      </w:r>
    </w:p>
    <w:p>
      <w:pPr>
        <w:pStyle w:val="ListBullet"/>
        <w:spacing w:line="276" w:lineRule="auto" w:after="80"/>
        <w:jc w:val="both"/>
      </w:pPr>
      <w:r>
        <w:rPr>
          <w:rFonts w:ascii="Times New Roman" w:hAnsi="Times New Roman"/>
          <w:b/>
          <w:sz w:val="19"/>
        </w:rPr>
        <w:t xml:space="preserve">Objective 2: </w:t>
      </w:r>
      <w:r>
        <w:rPr>
          <w:rFonts w:ascii="Times New Roman" w:hAnsi="Times New Roman"/>
          <w:sz w:val="19"/>
        </w:rPr>
        <w:t>Formulate, optimize, and evaluate Deep Vanilla LSTM, Bidirectional LSTM with Temporal Attention (BiLSTM-Attention), and Time-Series Multi-Head Self-Attention Transformer architectures in PyTorch.</w:t>
      </w:r>
    </w:p>
    <w:p>
      <w:pPr>
        <w:pStyle w:val="ListBullet"/>
        <w:spacing w:line="276" w:lineRule="auto" w:after="80"/>
        <w:jc w:val="both"/>
      </w:pPr>
      <w:r>
        <w:rPr>
          <w:rFonts w:ascii="Times New Roman" w:hAnsi="Times New Roman"/>
          <w:b/>
          <w:sz w:val="19"/>
        </w:rPr>
        <w:t xml:space="preserve">Objective 3: </w:t>
      </w:r>
      <w:r>
        <w:rPr>
          <w:rFonts w:ascii="Times New Roman" w:hAnsi="Times New Roman"/>
          <w:sz w:val="19"/>
        </w:rPr>
        <w:t>Execute rigorous comparative benchmarking against standard statistical and ensemble baselines (Linear Regression, Random Forest Regressor) across MAE, RMSE, R² Score, MAPE, and Category Classification Accuracy.</w:t>
      </w:r>
    </w:p>
    <w:p>
      <w:pPr>
        <w:pStyle w:val="ListBullet"/>
        <w:spacing w:line="276" w:lineRule="auto" w:after="80"/>
        <w:jc w:val="both"/>
      </w:pPr>
      <w:r>
        <w:rPr>
          <w:rFonts w:ascii="Times New Roman" w:hAnsi="Times New Roman"/>
          <w:b/>
          <w:sz w:val="19"/>
        </w:rPr>
        <w:t xml:space="preserve">Objective 4: </w:t>
      </w:r>
      <w:r>
        <w:rPr>
          <w:rFonts w:ascii="Times New Roman" w:hAnsi="Times New Roman"/>
          <w:sz w:val="19"/>
        </w:rPr>
        <w:t>Formulate a systematic 3-tier failure mode stress-testing protocol evaluating model resilience against Gaussian sensor noise (σ ≤ 0.60), missing telemetry packet loss (0%–50%), and seasonal distribution drift.</w:t>
      </w:r>
    </w:p>
    <w:p>
      <w:pPr>
        <w:pStyle w:val="ListBullet"/>
        <w:spacing w:line="276" w:lineRule="auto" w:after="80"/>
        <w:jc w:val="both"/>
      </w:pPr>
      <w:r>
        <w:rPr>
          <w:rFonts w:ascii="Times New Roman" w:hAnsi="Times New Roman"/>
          <w:b/>
          <w:sz w:val="19"/>
        </w:rPr>
        <w:t xml:space="preserve">Objective 5: </w:t>
      </w:r>
      <w:r>
        <w:rPr>
          <w:rFonts w:ascii="Times New Roman" w:hAnsi="Times New Roman"/>
          <w:sz w:val="19"/>
        </w:rPr>
        <w:t>Deploy an interactive REST API and modern decision-support web platform providing real-time telemetry streaming, what-if scenario simulation, and dynamic attention weight visualization.</w:t>
      </w:r>
    </w:p>
    <w:p>
      <w:pPr>
        <w:keepNext/>
        <w:spacing w:before="280" w:after="80"/>
        <w:jc w:val="left"/>
      </w:pPr>
      <w:r>
        <w:rPr>
          <w:rFonts w:ascii="Times New Roman" w:hAnsi="Times New Roman"/>
          <w:b/>
          <w:color w:val="0B2545"/>
          <w:sz w:val="22"/>
        </w:rPr>
        <w:t>II. RELATED WORK &amp; LITERATURE SURVEY</w:t>
      </w:r>
    </w:p>
    <w:p>
      <w:pPr>
        <w:spacing w:line="276" w:lineRule="auto" w:after="120"/>
        <w:jc w:val="both"/>
      </w:pPr>
      <w:r>
        <w:rPr>
          <w:rFonts w:ascii="Times New Roman" w:hAnsi="Times New Roman"/>
          <w:sz w:val="19"/>
        </w:rPr>
        <w:t>Air quality forecasting methodologies have evolved across three primary paradigms: classical atmospheric physics models, linear autoregressive statistical models, and non-linear deep learning architectures.</w:t>
      </w:r>
    </w:p>
    <w:p>
      <w:pPr>
        <w:spacing w:line="276" w:lineRule="auto" w:after="120"/>
        <w:jc w:val="both"/>
      </w:pPr>
      <w:r>
        <w:rPr>
          <w:rFonts w:ascii="Times New Roman" w:hAnsi="Times New Roman"/>
          <w:sz w:val="19"/>
        </w:rPr>
        <w:t>Classical approaches, such as Autoregressive Integrated Moving Average (ARIMA) and Support Vector Regression (SVR), were widely applied to municipal station telemetry. Sharma and Mukherjee (2023) evaluated Random Forest and ARIMA models on CPCB monitoring stations in Delhi, demonstrating that while Random Forests capture non-linear feature splits, they lack recurrent sequence modeling capabilities, leading to high error rates during rapid winter temperature inversion transitions (RMSE &gt; 22.4).</w:t>
      </w:r>
    </w:p>
    <w:p>
      <w:pPr>
        <w:spacing w:line="276" w:lineRule="auto" w:after="120"/>
        <w:jc w:val="both"/>
      </w:pPr>
      <w:r>
        <w:rPr>
          <w:rFonts w:ascii="Times New Roman" w:hAnsi="Times New Roman"/>
          <w:sz w:val="19"/>
        </w:rPr>
        <w:t>To capture sequential temporal dependencies, Recurrent Neural Networks (RNNs) and Long Short-Term Memory (LSTM) networks were introduced. Zhang et al. (2022) established that LSTMs effectively mitigate the vanishing gradient problem in sequential pollution tracking across 12 Beijing stations (R² ≈ 0.89). However, standard unidirectional LSTMs suffer from recency bias, where earlier time steps in long lookback windows lose representation fidelity. Zhou et al. (2021) introduced Informer self-attention architectures for long-sequence time series, but observed that quadratic attention mechanisms are susceptible to overfitting on localized sensor streams.</w:t>
      </w:r>
    </w:p>
    <w:p>
      <w:pPr>
        <w:spacing w:line="276" w:lineRule="auto" w:after="120"/>
        <w:jc w:val="both"/>
      </w:pPr>
      <w:r>
        <w:rPr>
          <w:rFonts w:ascii="Times New Roman" w:hAnsi="Times New Roman"/>
          <w:sz w:val="19"/>
        </w:rPr>
        <w:t>Table I provides a structured comparative summary of recent landmark publications, identifying their approaches, datasets, key metrics, and fundamental research gaps.</w:t>
      </w:r>
    </w:p>
    <w:p>
      <w:pPr>
        <w:keepNext/>
        <w:spacing w:before="240" w:after="40"/>
        <w:jc w:val="center"/>
      </w:pPr>
      <w:r>
        <w:rPr>
          <w:rFonts w:ascii="Times New Roman" w:hAnsi="Times New Roman"/>
          <w:b/>
          <w:sz w:val="17"/>
        </w:rPr>
        <w:t>TABLE I</w:t>
        <w:br/>
      </w:r>
      <w:r>
        <w:rPr>
          <w:rFonts w:ascii="Times New Roman" w:hAnsi="Times New Roman"/>
          <w:b/>
          <w:color w:val="0B2545"/>
          <w:sz w:val="17"/>
        </w:rPr>
        <w:t>COMPARATIVE LITERATURE ANALYSIS OF RELATED WORKS IN AIR QUALITY FORECASTING</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2074"/>
        <w:gridCol w:w="2074"/>
        <w:gridCol w:w="2074"/>
        <w:gridCol w:w="2074"/>
        <w:gridCol w:w="2074"/>
      </w:tblGrid>
      <w:tr>
        <w:tc>
          <w:tcPr>
            <w:tcW w:type="dxa" w:w="1728"/>
            <w:shd w:fill="0B2545"/>
            <w:tcMar>
              <w:top w:w="80" w:type="dxa"/>
              <w:bottom w:w="80" w:type="dxa"/>
              <w:left w:w="100" w:type="dxa"/>
              <w:right w:w="100" w:type="dxa"/>
            </w:tcMar>
          </w:tcPr>
          <w:p>
            <w:pPr>
              <w:jc w:val="center"/>
            </w:pPr>
            <w:r>
              <w:rPr>
                <w:rFonts w:ascii="Times New Roman" w:hAnsi="Times New Roman"/>
                <w:b/>
                <w:color w:val="FFFFFF"/>
                <w:sz w:val="17"/>
              </w:rPr>
              <w:t>Ref ID &amp; Authors</w:t>
            </w:r>
          </w:p>
        </w:tc>
        <w:tc>
          <w:tcPr>
            <w:tcW w:type="dxa" w:w="1872"/>
            <w:shd w:fill="0B2545"/>
            <w:tcMar>
              <w:top w:w="80" w:type="dxa"/>
              <w:bottom w:w="80" w:type="dxa"/>
              <w:left w:w="100" w:type="dxa"/>
              <w:right w:w="100" w:type="dxa"/>
            </w:tcMar>
          </w:tcPr>
          <w:p>
            <w:pPr>
              <w:jc w:val="center"/>
            </w:pPr>
            <w:r>
              <w:rPr>
                <w:rFonts w:ascii="Times New Roman" w:hAnsi="Times New Roman"/>
                <w:b/>
                <w:color w:val="FFFFFF"/>
                <w:sz w:val="17"/>
              </w:rPr>
              <w:t>Approach Adopted</w:t>
            </w:r>
          </w:p>
        </w:tc>
        <w:tc>
          <w:tcPr>
            <w:tcW w:type="dxa" w:w="1872"/>
            <w:shd w:fill="0B2545"/>
            <w:tcMar>
              <w:top w:w="80" w:type="dxa"/>
              <w:bottom w:w="80" w:type="dxa"/>
              <w:left w:w="100" w:type="dxa"/>
              <w:right w:w="100" w:type="dxa"/>
            </w:tcMar>
          </w:tcPr>
          <w:p>
            <w:pPr>
              <w:jc w:val="center"/>
            </w:pPr>
            <w:r>
              <w:rPr>
                <w:rFonts w:ascii="Times New Roman" w:hAnsi="Times New Roman"/>
                <w:b/>
                <w:color w:val="FFFFFF"/>
                <w:sz w:val="17"/>
              </w:rPr>
              <w:t>Dataset &amp; Scope</w:t>
            </w:r>
          </w:p>
        </w:tc>
        <w:tc>
          <w:tcPr>
            <w:tcW w:type="dxa" w:w="1728"/>
            <w:shd w:fill="0B2545"/>
            <w:tcMar>
              <w:top w:w="80" w:type="dxa"/>
              <w:bottom w:w="80" w:type="dxa"/>
              <w:left w:w="100" w:type="dxa"/>
              <w:right w:w="100" w:type="dxa"/>
            </w:tcMar>
          </w:tcPr>
          <w:p>
            <w:pPr>
              <w:jc w:val="center"/>
            </w:pPr>
            <w:r>
              <w:rPr>
                <w:rFonts w:ascii="Times New Roman" w:hAnsi="Times New Roman"/>
                <w:b/>
                <w:color w:val="FFFFFF"/>
                <w:sz w:val="17"/>
              </w:rPr>
              <w:t>Key Results</w:t>
            </w:r>
          </w:p>
        </w:tc>
        <w:tc>
          <w:tcPr>
            <w:tcW w:type="dxa" w:w="3168"/>
            <w:shd w:fill="0B2545"/>
            <w:tcMar>
              <w:top w:w="80" w:type="dxa"/>
              <w:bottom w:w="80" w:type="dxa"/>
              <w:left w:w="100" w:type="dxa"/>
              <w:right w:w="100" w:type="dxa"/>
            </w:tcMar>
          </w:tcPr>
          <w:p>
            <w:pPr>
              <w:jc w:val="center"/>
            </w:pPr>
            <w:r>
              <w:rPr>
                <w:rFonts w:ascii="Times New Roman" w:hAnsi="Times New Roman"/>
                <w:b/>
                <w:color w:val="FFFFFF"/>
                <w:sz w:val="17"/>
              </w:rPr>
              <w:t>Identified Research Gaps</w:t>
            </w:r>
          </w:p>
        </w:tc>
      </w:tr>
      <w:tr>
        <w:tc>
          <w:tcPr>
            <w:tcW w:type="dxa" w:w="1728"/>
            <w:shd w:fill="FFFFFF"/>
            <w:tcMar>
              <w:top w:w="60" w:type="dxa"/>
              <w:bottom w:w="60" w:type="dxa"/>
              <w:left w:w="80" w:type="dxa"/>
              <w:right w:w="80" w:type="dxa"/>
            </w:tcMar>
          </w:tcPr>
          <w:p>
            <w:pPr>
              <w:jc w:val="left"/>
            </w:pPr>
            <w:r>
              <w:rPr>
                <w:rFonts w:ascii="Times New Roman" w:hAnsi="Times New Roman"/>
                <w:b w:val="0"/>
                <w:sz w:val="16"/>
              </w:rPr>
              <w:t>[1] Zhang et al. (2022)</w:t>
              <w:br/>
              <w:t>IEEE TNNLS</w:t>
            </w:r>
          </w:p>
        </w:tc>
        <w:tc>
          <w:tcPr>
            <w:tcW w:type="dxa" w:w="1872"/>
            <w:shd w:fill="FFFFFF"/>
            <w:tcMar>
              <w:top w:w="60" w:type="dxa"/>
              <w:bottom w:w="60" w:type="dxa"/>
              <w:left w:w="80" w:type="dxa"/>
              <w:right w:w="80" w:type="dxa"/>
            </w:tcMar>
          </w:tcPr>
          <w:p>
            <w:pPr>
              <w:jc w:val="left"/>
            </w:pPr>
            <w:r>
              <w:rPr>
                <w:rFonts w:ascii="Times New Roman" w:hAnsi="Times New Roman"/>
                <w:b w:val="0"/>
                <w:sz w:val="16"/>
              </w:rPr>
              <w:t>Standard LSTM Network</w:t>
            </w:r>
          </w:p>
        </w:tc>
        <w:tc>
          <w:tcPr>
            <w:tcW w:type="dxa" w:w="1872"/>
            <w:shd w:fill="FFFFFF"/>
            <w:tcMar>
              <w:top w:w="60" w:type="dxa"/>
              <w:bottom w:w="60" w:type="dxa"/>
              <w:left w:w="80" w:type="dxa"/>
              <w:right w:w="80" w:type="dxa"/>
            </w:tcMar>
          </w:tcPr>
          <w:p>
            <w:pPr>
              <w:jc w:val="left"/>
            </w:pPr>
            <w:r>
              <w:rPr>
                <w:rFonts w:ascii="Times New Roman" w:hAnsi="Times New Roman"/>
                <w:b w:val="0"/>
                <w:sz w:val="16"/>
              </w:rPr>
              <w:t>Beijing Urban Grid</w:t>
              <w:br/>
              <w:t>(12 CAAQMS)</w:t>
            </w:r>
          </w:p>
        </w:tc>
        <w:tc>
          <w:tcPr>
            <w:tcW w:type="dxa" w:w="1728"/>
            <w:shd w:fill="FFFFFF"/>
            <w:tcMar>
              <w:top w:w="60" w:type="dxa"/>
              <w:bottom w:w="60" w:type="dxa"/>
              <w:left w:w="80" w:type="dxa"/>
              <w:right w:w="80" w:type="dxa"/>
            </w:tcMar>
          </w:tcPr>
          <w:p>
            <w:pPr>
              <w:jc w:val="left"/>
            </w:pPr>
            <w:r>
              <w:rPr>
                <w:rFonts w:ascii="Times New Roman" w:hAnsi="Times New Roman"/>
                <w:b w:val="0"/>
                <w:sz w:val="16"/>
              </w:rPr>
              <w:t>RMSE: 14.2</w:t>
              <w:br/>
              <w:t>R²: 0.89</w:t>
            </w:r>
          </w:p>
        </w:tc>
        <w:tc>
          <w:tcPr>
            <w:tcW w:type="dxa" w:w="3168"/>
            <w:shd w:fill="FFFFFF"/>
            <w:tcMar>
              <w:top w:w="60" w:type="dxa"/>
              <w:bottom w:w="60" w:type="dxa"/>
              <w:left w:w="80" w:type="dxa"/>
              <w:right w:w="80" w:type="dxa"/>
            </w:tcMar>
          </w:tcPr>
          <w:p>
            <w:pPr>
              <w:jc w:val="left"/>
            </w:pPr>
            <w:r>
              <w:rPr>
                <w:rFonts w:ascii="Times New Roman" w:hAnsi="Times New Roman"/>
                <w:b w:val="0"/>
                <w:sz w:val="16"/>
              </w:rPr>
              <w:t>Vanishing gradients over 24h+ lookbacks; lacks attention mechanism; single-pollutant focus.</w:t>
            </w:r>
          </w:p>
        </w:tc>
      </w:tr>
      <w:tr>
        <w:tc>
          <w:tcPr>
            <w:tcW w:type="dxa" w:w="1728"/>
            <w:shd w:fill="F9FBFD"/>
            <w:tcMar>
              <w:top w:w="60" w:type="dxa"/>
              <w:bottom w:w="60" w:type="dxa"/>
              <w:left w:w="80" w:type="dxa"/>
              <w:right w:w="80" w:type="dxa"/>
            </w:tcMar>
          </w:tcPr>
          <w:p>
            <w:pPr>
              <w:jc w:val="left"/>
            </w:pPr>
            <w:r>
              <w:rPr>
                <w:rFonts w:ascii="Times New Roman" w:hAnsi="Times New Roman"/>
                <w:b w:val="0"/>
                <w:sz w:val="16"/>
              </w:rPr>
              <w:t>[2] Liang et al. (2023)</w:t>
              <w:br/>
              <w:t>Elsevier Atmos. Env.</w:t>
            </w:r>
          </w:p>
        </w:tc>
        <w:tc>
          <w:tcPr>
            <w:tcW w:type="dxa" w:w="1872"/>
            <w:shd w:fill="F9FBFD"/>
            <w:tcMar>
              <w:top w:w="60" w:type="dxa"/>
              <w:bottom w:w="60" w:type="dxa"/>
              <w:left w:w="80" w:type="dxa"/>
              <w:right w:w="80" w:type="dxa"/>
            </w:tcMar>
          </w:tcPr>
          <w:p>
            <w:pPr>
              <w:jc w:val="left"/>
            </w:pPr>
            <w:r>
              <w:rPr>
                <w:rFonts w:ascii="Times New Roman" w:hAnsi="Times New Roman"/>
                <w:b w:val="0"/>
                <w:sz w:val="16"/>
              </w:rPr>
              <w:t>CNN-LSTM Hybrid</w:t>
            </w:r>
          </w:p>
        </w:tc>
        <w:tc>
          <w:tcPr>
            <w:tcW w:type="dxa" w:w="1872"/>
            <w:shd w:fill="F9FBFD"/>
            <w:tcMar>
              <w:top w:w="60" w:type="dxa"/>
              <w:bottom w:w="60" w:type="dxa"/>
              <w:left w:w="80" w:type="dxa"/>
              <w:right w:w="80" w:type="dxa"/>
            </w:tcMar>
          </w:tcPr>
          <w:p>
            <w:pPr>
              <w:jc w:val="left"/>
            </w:pPr>
            <w:r>
              <w:rPr>
                <w:rFonts w:ascii="Times New Roman" w:hAnsi="Times New Roman"/>
                <w:b w:val="0"/>
                <w:sz w:val="16"/>
              </w:rPr>
              <w:t>Taiwan Spatial Grid Network</w:t>
            </w:r>
          </w:p>
        </w:tc>
        <w:tc>
          <w:tcPr>
            <w:tcW w:type="dxa" w:w="1728"/>
            <w:shd w:fill="F9FBFD"/>
            <w:tcMar>
              <w:top w:w="60" w:type="dxa"/>
              <w:bottom w:w="60" w:type="dxa"/>
              <w:left w:w="80" w:type="dxa"/>
              <w:right w:w="80" w:type="dxa"/>
            </w:tcMar>
          </w:tcPr>
          <w:p>
            <w:pPr>
              <w:jc w:val="left"/>
            </w:pPr>
            <w:r>
              <w:rPr>
                <w:rFonts w:ascii="Times New Roman" w:hAnsi="Times New Roman"/>
                <w:b w:val="0"/>
                <w:sz w:val="16"/>
              </w:rPr>
              <w:t>MAE: 9.8</w:t>
              <w:br/>
              <w:t>R²: 0.91</w:t>
            </w:r>
          </w:p>
        </w:tc>
        <w:tc>
          <w:tcPr>
            <w:tcW w:type="dxa" w:w="3168"/>
            <w:shd w:fill="F9FBFD"/>
            <w:tcMar>
              <w:top w:w="60" w:type="dxa"/>
              <w:bottom w:w="60" w:type="dxa"/>
              <w:left w:w="80" w:type="dxa"/>
              <w:right w:w="80" w:type="dxa"/>
            </w:tcMar>
          </w:tcPr>
          <w:p>
            <w:pPr>
              <w:jc w:val="left"/>
            </w:pPr>
            <w:r>
              <w:rPr>
                <w:rFonts w:ascii="Times New Roman" w:hAnsi="Times New Roman"/>
                <w:b w:val="0"/>
                <w:sz w:val="16"/>
              </w:rPr>
              <w:t>High computational overhead; requires dense spatial mesh unavailable on institutional campuses.</w:t>
            </w:r>
          </w:p>
        </w:tc>
      </w:tr>
      <w:tr>
        <w:tc>
          <w:tcPr>
            <w:tcW w:type="dxa" w:w="1728"/>
            <w:shd w:fill="FFFFFF"/>
            <w:tcMar>
              <w:top w:w="60" w:type="dxa"/>
              <w:bottom w:w="60" w:type="dxa"/>
              <w:left w:w="80" w:type="dxa"/>
              <w:right w:w="80" w:type="dxa"/>
            </w:tcMar>
          </w:tcPr>
          <w:p>
            <w:pPr>
              <w:jc w:val="left"/>
            </w:pPr>
            <w:r>
              <w:rPr>
                <w:rFonts w:ascii="Times New Roman" w:hAnsi="Times New Roman"/>
                <w:b w:val="0"/>
                <w:sz w:val="16"/>
              </w:rPr>
              <w:t>[3] Zhou et al. (2021)</w:t>
              <w:br/>
              <w:t>Informer / AAAI</w:t>
            </w:r>
          </w:p>
        </w:tc>
        <w:tc>
          <w:tcPr>
            <w:tcW w:type="dxa" w:w="1872"/>
            <w:shd w:fill="FFFFFF"/>
            <w:tcMar>
              <w:top w:w="60" w:type="dxa"/>
              <w:bottom w:w="60" w:type="dxa"/>
              <w:left w:w="80" w:type="dxa"/>
              <w:right w:w="80" w:type="dxa"/>
            </w:tcMar>
          </w:tcPr>
          <w:p>
            <w:pPr>
              <w:jc w:val="left"/>
            </w:pPr>
            <w:r>
              <w:rPr>
                <w:rFonts w:ascii="Times New Roman" w:hAnsi="Times New Roman"/>
                <w:b w:val="0"/>
                <w:sz w:val="16"/>
              </w:rPr>
              <w:t>Self-Attention Transformer</w:t>
            </w:r>
          </w:p>
        </w:tc>
        <w:tc>
          <w:tcPr>
            <w:tcW w:type="dxa" w:w="1872"/>
            <w:shd w:fill="FFFFFF"/>
            <w:tcMar>
              <w:top w:w="60" w:type="dxa"/>
              <w:bottom w:w="60" w:type="dxa"/>
              <w:left w:w="80" w:type="dxa"/>
              <w:right w:w="80" w:type="dxa"/>
            </w:tcMar>
          </w:tcPr>
          <w:p>
            <w:pPr>
              <w:jc w:val="left"/>
            </w:pPr>
            <w:r>
              <w:rPr>
                <w:rFonts w:ascii="Times New Roman" w:hAnsi="Times New Roman"/>
                <w:b w:val="0"/>
                <w:sz w:val="16"/>
              </w:rPr>
              <w:t>Multi-city Benchmark Datasets</w:t>
            </w:r>
          </w:p>
        </w:tc>
        <w:tc>
          <w:tcPr>
            <w:tcW w:type="dxa" w:w="1728"/>
            <w:shd w:fill="FFFFFF"/>
            <w:tcMar>
              <w:top w:w="60" w:type="dxa"/>
              <w:bottom w:w="60" w:type="dxa"/>
              <w:left w:w="80" w:type="dxa"/>
              <w:right w:w="80" w:type="dxa"/>
            </w:tcMar>
          </w:tcPr>
          <w:p>
            <w:pPr>
              <w:jc w:val="left"/>
            </w:pPr>
            <w:r>
              <w:rPr>
                <w:rFonts w:ascii="Times New Roman" w:hAnsi="Times New Roman"/>
                <w:b w:val="0"/>
                <w:sz w:val="16"/>
              </w:rPr>
              <w:t>MSE: 0.28</w:t>
            </w:r>
          </w:p>
        </w:tc>
        <w:tc>
          <w:tcPr>
            <w:tcW w:type="dxa" w:w="3168"/>
            <w:shd w:fill="FFFFFF"/>
            <w:tcMar>
              <w:top w:w="60" w:type="dxa"/>
              <w:bottom w:w="60" w:type="dxa"/>
              <w:left w:w="80" w:type="dxa"/>
              <w:right w:w="80" w:type="dxa"/>
            </w:tcMar>
          </w:tcPr>
          <w:p>
            <w:pPr>
              <w:jc w:val="left"/>
            </w:pPr>
            <w:r>
              <w:rPr>
                <w:rFonts w:ascii="Times New Roman" w:hAnsi="Times New Roman"/>
                <w:b w:val="0"/>
                <w:sz w:val="16"/>
              </w:rPr>
              <w:t>Quadratic attention complexity prone to overfitting on localized IoT sensor streams.</w:t>
            </w:r>
          </w:p>
        </w:tc>
      </w:tr>
      <w:tr>
        <w:tc>
          <w:tcPr>
            <w:tcW w:type="dxa" w:w="1728"/>
            <w:shd w:fill="F9FBFD"/>
            <w:tcMar>
              <w:top w:w="60" w:type="dxa"/>
              <w:bottom w:w="60" w:type="dxa"/>
              <w:left w:w="80" w:type="dxa"/>
              <w:right w:w="80" w:type="dxa"/>
            </w:tcMar>
          </w:tcPr>
          <w:p>
            <w:pPr>
              <w:jc w:val="left"/>
            </w:pPr>
            <w:r>
              <w:rPr>
                <w:rFonts w:ascii="Times New Roman" w:hAnsi="Times New Roman"/>
                <w:b w:val="0"/>
                <w:sz w:val="16"/>
              </w:rPr>
              <w:t>[4] Sharma et al. (2023)</w:t>
              <w:br/>
              <w:t>Springer Env. Monit.</w:t>
            </w:r>
          </w:p>
        </w:tc>
        <w:tc>
          <w:tcPr>
            <w:tcW w:type="dxa" w:w="1872"/>
            <w:shd w:fill="F9FBFD"/>
            <w:tcMar>
              <w:top w:w="60" w:type="dxa"/>
              <w:bottom w:w="60" w:type="dxa"/>
              <w:left w:w="80" w:type="dxa"/>
              <w:right w:w="80" w:type="dxa"/>
            </w:tcMar>
          </w:tcPr>
          <w:p>
            <w:pPr>
              <w:jc w:val="left"/>
            </w:pPr>
            <w:r>
              <w:rPr>
                <w:rFonts w:ascii="Times New Roman" w:hAnsi="Times New Roman"/>
                <w:b w:val="0"/>
                <w:sz w:val="16"/>
              </w:rPr>
              <w:t>ARIMA &amp; Random Forest</w:t>
            </w:r>
          </w:p>
        </w:tc>
        <w:tc>
          <w:tcPr>
            <w:tcW w:type="dxa" w:w="1872"/>
            <w:shd w:fill="F9FBFD"/>
            <w:tcMar>
              <w:top w:w="60" w:type="dxa"/>
              <w:bottom w:w="60" w:type="dxa"/>
              <w:left w:w="80" w:type="dxa"/>
              <w:right w:w="80" w:type="dxa"/>
            </w:tcMar>
          </w:tcPr>
          <w:p>
            <w:pPr>
              <w:jc w:val="left"/>
            </w:pPr>
            <w:r>
              <w:rPr>
                <w:rFonts w:ascii="Times New Roman" w:hAnsi="Times New Roman"/>
                <w:b w:val="0"/>
                <w:sz w:val="16"/>
              </w:rPr>
              <w:t>Delhi CPCB Stations</w:t>
            </w:r>
          </w:p>
        </w:tc>
        <w:tc>
          <w:tcPr>
            <w:tcW w:type="dxa" w:w="1728"/>
            <w:shd w:fill="F9FBFD"/>
            <w:tcMar>
              <w:top w:w="60" w:type="dxa"/>
              <w:bottom w:w="60" w:type="dxa"/>
              <w:left w:w="80" w:type="dxa"/>
              <w:right w:w="80" w:type="dxa"/>
            </w:tcMar>
          </w:tcPr>
          <w:p>
            <w:pPr>
              <w:jc w:val="left"/>
            </w:pPr>
            <w:r>
              <w:rPr>
                <w:rFonts w:ascii="Times New Roman" w:hAnsi="Times New Roman"/>
                <w:b w:val="0"/>
                <w:sz w:val="16"/>
              </w:rPr>
              <w:t>RMSE: 22.4</w:t>
              <w:br/>
              <w:t>R²: 0.81</w:t>
            </w:r>
          </w:p>
        </w:tc>
        <w:tc>
          <w:tcPr>
            <w:tcW w:type="dxa" w:w="3168"/>
            <w:shd w:fill="F9FBFD"/>
            <w:tcMar>
              <w:top w:w="60" w:type="dxa"/>
              <w:bottom w:w="60" w:type="dxa"/>
              <w:left w:w="80" w:type="dxa"/>
              <w:right w:w="80" w:type="dxa"/>
            </w:tcMar>
          </w:tcPr>
          <w:p>
            <w:pPr>
              <w:jc w:val="left"/>
            </w:pPr>
            <w:r>
              <w:rPr>
                <w:rFonts w:ascii="Times New Roman" w:hAnsi="Times New Roman"/>
                <w:b w:val="0"/>
                <w:sz w:val="16"/>
              </w:rPr>
              <w:t>Linear models fail during severe winter smog and sudden meteorological inversion shifts.</w:t>
            </w:r>
          </w:p>
        </w:tc>
      </w:tr>
      <w:tr>
        <w:tc>
          <w:tcPr>
            <w:tcW w:type="dxa" w:w="1728"/>
            <w:shd w:fill="EBF3FA"/>
            <w:tcMar>
              <w:top w:w="60" w:type="dxa"/>
              <w:bottom w:w="60" w:type="dxa"/>
              <w:left w:w="80" w:type="dxa"/>
              <w:right w:w="80" w:type="dxa"/>
            </w:tcMar>
          </w:tcPr>
          <w:p>
            <w:pPr>
              <w:jc w:val="left"/>
            </w:pPr>
            <w:r>
              <w:rPr>
                <w:rFonts w:ascii="Times New Roman" w:hAnsi="Times New Roman"/>
                <w:b/>
                <w:color w:val="0B2545"/>
                <w:sz w:val="16"/>
              </w:rPr>
              <w:t>[Ours] Proposed Work</w:t>
              <w:br/>
              <w:t>Final Year Capstone</w:t>
            </w:r>
          </w:p>
        </w:tc>
        <w:tc>
          <w:tcPr>
            <w:tcW w:type="dxa" w:w="1872"/>
            <w:shd w:fill="EBF3FA"/>
            <w:tcMar>
              <w:top w:w="60" w:type="dxa"/>
              <w:bottom w:w="60" w:type="dxa"/>
              <w:left w:w="80" w:type="dxa"/>
              <w:right w:w="80" w:type="dxa"/>
            </w:tcMar>
          </w:tcPr>
          <w:p>
            <w:pPr>
              <w:jc w:val="left"/>
            </w:pPr>
            <w:r>
              <w:rPr>
                <w:rFonts w:ascii="Times New Roman" w:hAnsi="Times New Roman"/>
                <w:b/>
                <w:color w:val="0B2545"/>
                <w:sz w:val="16"/>
              </w:rPr>
              <w:t>BiLSTM-Attention &amp;</w:t>
              <w:br/>
              <w:t>Transformer Pipeline</w:t>
            </w:r>
          </w:p>
        </w:tc>
        <w:tc>
          <w:tcPr>
            <w:tcW w:type="dxa" w:w="1872"/>
            <w:shd w:fill="EBF3FA"/>
            <w:tcMar>
              <w:top w:w="60" w:type="dxa"/>
              <w:bottom w:w="60" w:type="dxa"/>
              <w:left w:w="80" w:type="dxa"/>
              <w:right w:w="80" w:type="dxa"/>
            </w:tcMar>
          </w:tcPr>
          <w:p>
            <w:pPr>
              <w:jc w:val="left"/>
            </w:pPr>
            <w:r>
              <w:rPr>
                <w:rFonts w:ascii="Times New Roman" w:hAnsi="Times New Roman"/>
                <w:b/>
                <w:color w:val="0B2545"/>
                <w:sz w:val="16"/>
              </w:rPr>
              <w:t>1-Year Hourly Campus IoT Network (8,760 records)</w:t>
            </w:r>
          </w:p>
        </w:tc>
        <w:tc>
          <w:tcPr>
            <w:tcW w:type="dxa" w:w="1728"/>
            <w:shd w:fill="EBF3FA"/>
            <w:tcMar>
              <w:top w:w="60" w:type="dxa"/>
              <w:bottom w:w="60" w:type="dxa"/>
              <w:left w:w="80" w:type="dxa"/>
              <w:right w:w="80" w:type="dxa"/>
            </w:tcMar>
          </w:tcPr>
          <w:p>
            <w:pPr>
              <w:jc w:val="left"/>
            </w:pPr>
            <w:r>
              <w:rPr>
                <w:rFonts w:ascii="Times New Roman" w:hAnsi="Times New Roman"/>
                <w:b/>
                <w:color w:val="0B2545"/>
                <w:sz w:val="16"/>
              </w:rPr>
              <w:t>MAE: 12.09</w:t>
              <w:br/>
              <w:t>RMSE: 15.80</w:t>
              <w:br/>
              <w:t>R²: 0.8144</w:t>
            </w:r>
          </w:p>
        </w:tc>
        <w:tc>
          <w:tcPr>
            <w:tcW w:type="dxa" w:w="3168"/>
            <w:shd w:fill="EBF3FA"/>
            <w:tcMar>
              <w:top w:w="60" w:type="dxa"/>
              <w:bottom w:w="60" w:type="dxa"/>
              <w:left w:w="80" w:type="dxa"/>
              <w:right w:w="80" w:type="dxa"/>
            </w:tcMar>
          </w:tcPr>
          <w:p>
            <w:pPr>
              <w:jc w:val="left"/>
            </w:pPr>
            <w:r>
              <w:rPr>
                <w:rFonts w:ascii="Times New Roman" w:hAnsi="Times New Roman"/>
                <w:b/>
                <w:color w:val="0B2545"/>
                <w:sz w:val="16"/>
              </w:rPr>
              <w:t>Integrated CPCB AQI calculation engine + explicit 3-tier failure mode stress-testing suite.</w:t>
            </w:r>
          </w:p>
        </w:tc>
      </w:tr>
    </w:tbl>
    <w:p>
      <w:pPr>
        <w:spacing w:after="160"/>
      </w:pPr>
    </w:p>
    <w:p>
      <w:pPr>
        <w:keepNext/>
        <w:spacing w:before="280" w:after="80"/>
        <w:jc w:val="left"/>
      </w:pPr>
      <w:r>
        <w:rPr>
          <w:rFonts w:ascii="Times New Roman" w:hAnsi="Times New Roman"/>
          <w:b/>
          <w:color w:val="0B2545"/>
          <w:sz w:val="22"/>
        </w:rPr>
        <w:t>III. SYSTEM ARCHITECTURE &amp; REQUIREMENTS ANALYSIS</w:t>
      </w:r>
    </w:p>
    <w:p>
      <w:pPr>
        <w:keepNext/>
        <w:spacing w:before="200" w:after="60"/>
        <w:jc w:val="left"/>
      </w:pPr>
      <w:r>
        <w:rPr>
          <w:rFonts w:ascii="Times New Roman" w:hAnsi="Times New Roman"/>
          <w:b/>
          <w:i/>
          <w:color w:val="134074"/>
          <w:sz w:val="20"/>
        </w:rPr>
        <w:t>A. Existing System and Its Limitations</w:t>
      </w:r>
    </w:p>
    <w:p>
      <w:pPr>
        <w:spacing w:line="276" w:lineRule="auto" w:after="120"/>
        <w:jc w:val="both"/>
      </w:pPr>
      <w:r>
        <w:rPr>
          <w:rFonts w:ascii="Times New Roman" w:hAnsi="Times New Roman"/>
          <w:sz w:val="19"/>
        </w:rPr>
        <w:t>Current ambient air quality monitoring relies on isolated municipal stations that publish retrospective 24-hour averages. When institutional facilities attempt to monitor campus environments, they deploy uncalibrated consumer monitors that provide raw, noisy voltage readings without predictive capabilities or fault-tolerant imputation. If an IoT node encounters a WiFi drop or power reset, existing pipelines produce null values or corrupted forecasts.</w:t>
      </w:r>
    </w:p>
    <w:p>
      <w:pPr>
        <w:keepNext/>
        <w:spacing w:before="200" w:after="60"/>
        <w:jc w:val="left"/>
      </w:pPr>
      <w:r>
        <w:rPr>
          <w:rFonts w:ascii="Times New Roman" w:hAnsi="Times New Roman"/>
          <w:b/>
          <w:i/>
          <w:color w:val="134074"/>
          <w:sz w:val="20"/>
        </w:rPr>
        <w:t>B. Proposed System Architecture</w:t>
      </w:r>
    </w:p>
    <w:p>
      <w:pPr>
        <w:spacing w:line="276" w:lineRule="auto" w:after="120"/>
        <w:jc w:val="both"/>
      </w:pPr>
      <w:r>
        <w:rPr>
          <w:rFonts w:ascii="Times New Roman" w:hAnsi="Times New Roman"/>
          <w:sz w:val="19"/>
        </w:rPr>
        <w:t>The proposed system establishes an integrated, end-to-end telemetry and deep learning forecasting architecture comprising five modular layers:</w:t>
      </w:r>
    </w:p>
    <w:p>
      <w:pPr>
        <w:spacing w:line="276" w:lineRule="auto" w:after="120"/>
        <w:jc w:val="both"/>
      </w:pPr>
      <w:r>
        <w:rPr>
          <w:rFonts w:ascii="Times New Roman" w:hAnsi="Times New Roman"/>
          <w:sz w:val="19"/>
        </w:rPr>
        <w:t>1) IoT Telemetry Layer: Multi-sensor nodes capture 9 ambient variables (PM2.5, PM10, NO2, SO2, CO, O3, Temp, Humidity, Wind Speed) at hourly intervals across campus zones.</w:t>
      </w:r>
    </w:p>
    <w:p>
      <w:pPr>
        <w:spacing w:line="276" w:lineRule="auto" w:after="120"/>
        <w:jc w:val="both"/>
      </w:pPr>
      <w:r>
        <w:rPr>
          <w:rFonts w:ascii="Times New Roman" w:hAnsi="Times New Roman"/>
          <w:sz w:val="19"/>
        </w:rPr>
        <w:t>2) Preprocessing &amp; Imputation Engine: Performs dynamic IQR outlier clipping, linear interpolation for missing packets, cyclical temporal encodings, and StandardScaler normalization.</w:t>
      </w:r>
    </w:p>
    <w:p>
      <w:pPr>
        <w:spacing w:line="276" w:lineRule="auto" w:after="120"/>
        <w:jc w:val="both"/>
      </w:pPr>
      <w:r>
        <w:rPr>
          <w:rFonts w:ascii="Times New Roman" w:hAnsi="Times New Roman"/>
          <w:sz w:val="19"/>
        </w:rPr>
        <w:t>3) Standard AQI Calculation Engine: Computes official CPCB piecewise linear sub-indices, identifies dominant pollutants, and assigns discrete health advisory categories.</w:t>
      </w:r>
    </w:p>
    <w:p>
      <w:pPr>
        <w:spacing w:line="276" w:lineRule="auto" w:after="120"/>
        <w:jc w:val="both"/>
      </w:pPr>
      <w:r>
        <w:rPr>
          <w:rFonts w:ascii="Times New Roman" w:hAnsi="Times New Roman"/>
          <w:sz w:val="19"/>
        </w:rPr>
        <w:t>4) Deep Learning Forecasting Engine: Executes forward inference through PyTorch BiLSTM-Attention, Transformer, and LSTM networks over 24-hour sliding sequence windows.</w:t>
      </w:r>
    </w:p>
    <w:p>
      <w:pPr>
        <w:spacing w:line="276" w:lineRule="auto" w:after="120"/>
        <w:jc w:val="both"/>
      </w:pPr>
      <w:r>
        <w:rPr>
          <w:rFonts w:ascii="Times New Roman" w:hAnsi="Times New Roman"/>
          <w:sz w:val="19"/>
        </w:rPr>
        <w:t>5) REST API &amp; Decision-Support Portal: FastAPI backend streaming live telemetry, 24h forecasts, dynamic attention weights, and interactive failure mode stress testing.</w:t>
      </w:r>
    </w:p>
    <w:p>
      <w:pPr>
        <w:spacing w:line="276" w:lineRule="auto" w:after="120"/>
        <w:jc w:val="both"/>
      </w:pPr>
      <w:r>
        <w:rPr>
          <w:rFonts w:ascii="Times New Roman" w:hAnsi="Times New Roman"/>
          <w:b/>
          <w:sz w:val="19"/>
        </w:rPr>
        <w:t xml:space="preserve">System Pipeline: </w:t>
      </w:r>
      <w:r>
        <w:rPr>
          <w:rFonts w:ascii="Times New Roman" w:hAnsi="Times New Roman"/>
          <w:sz w:val="19"/>
        </w:rPr>
        <w:t>Fig. 1 illustrates the high-level workflow and dataflow pipeline of the proposed deep learning air quality prediction system.</w:t>
      </w:r>
    </w:p>
    <w:p>
      <w:pPr>
        <w:spacing w:before="80" w:after="120"/>
        <w:jc w:val="center"/>
      </w:pPr>
      <w:r>
        <w:rPr>
          <w:rFonts w:ascii="Courier New" w:hAnsi="Courier New"/>
          <w:b/>
          <w:color w:val="0B2545"/>
          <w:sz w:val="18"/>
        </w:rPr>
        <w:t>+-----------------------------------------------------------------------------------+</w:t>
        <w:br/>
        <w:t>|                        1. DATA ACQUISITION &amp; IOT INGESTION                        |</w:t>
        <w:br/>
        <w:t>|  - Campus Monitoring Stations (PM2.5, PM10, NO2, SO2, CO, O3, Temp, Humidity)     |</w:t>
        <w:br/>
        <w:t>|  - Multi-station Telemetry Ingestor &amp; Raw CSV Ingestion Engine                    |</w:t>
        <w:br/>
        <w:t>+-----------------------------------------+-----------------------------------------+</w:t>
        <w:br/>
        <w:t xml:space="preserve">                                          |</w:t>
        <w:br/>
        <w:t xml:space="preserve">                                          v</w:t>
        <w:br/>
        <w:t>+-----------------------------------------------------------------------------------+</w:t>
        <w:br/>
        <w:t>|                     2. PREPROCESSING &amp; FAULT-TOLERANT IMPUTATION                  |</w:t>
        <w:br/>
        <w:t>|  - Dynamic IQR Outlier Capping           - Linear Time-Series Imputation          |</w:t>
        <w:br/>
        <w:t>|  - Cyclical Temporal Encodings (sin/cos) - 24-Hour Sliding Sequence Slicing       |</w:t>
        <w:br/>
        <w:t>+-----------------------------------------+-----------------------------------------+</w:t>
        <w:br/>
        <w:t xml:space="preserve">                                          |</w:t>
        <w:br/>
        <w:t xml:space="preserve">                                          v</w:t>
        <w:br/>
        <w:t>+-----------------------------------------------------------------------------------+</w:t>
        <w:br/>
        <w:t>|                      3. CPCB &amp; EPA AQI CALCULATION ENGINE                         |</w:t>
        <w:br/>
        <w:t>|  - Calculates Sub-indices: I_p = ((I_hi-I_lo)/(B_hi-B_lo))*(C_p-B_lo) + I_lo      |</w:t>
        <w:br/>
        <w:t>|  - Computes Composite AQI = max(Sub-indices) &amp; Assigns Health Advisory Categories |</w:t>
        <w:br/>
        <w:t>+-----------------------------------------+-----------------------------------------+</w:t>
        <w:br/>
        <w:t xml:space="preserve">                                          |</w:t>
        <w:br/>
        <w:t xml:space="preserve">                                          v</w:t>
        <w:br/>
        <w:t>+-----------------------------------------------------------------------------------+</w:t>
        <w:br/>
        <w:t>|                     4. DEEP LEARNING MODELING ENGINE (PyTorch)                    |</w:t>
        <w:br/>
        <w:t>|  - Model A: Long Short-Term Memory (LSTM) with Recurrent Dropout                  |</w:t>
        <w:br/>
        <w:t>|  - Model B: Bidirectional LSTM with Soft Temporal Attention Mechanism             |</w:t>
        <w:br/>
        <w:t>|  - Model C: Time-Series Transformer with Multi-Head Self-Attention                |</w:t>
        <w:br/>
        <w:t>+-----------------------------------------+-----------------------------------------+</w:t>
        <w:br/>
        <w:t xml:space="preserve">                                          |</w:t>
        <w:br/>
        <w:t xml:space="preserve">                                          v</w:t>
        <w:br/>
        <w:t>+-----------------------------------------------------------------------------------+</w:t>
        <w:br/>
        <w:t>|                     5. REST API &amp; INTERACTIVE DECISION-SUPPORT UI                 |</w:t>
        <w:br/>
        <w:t>|  - Live Telemetry Stream, Attention Attribution, Failure Mode Simulator           |</w:t>
        <w:br/>
        <w:t>+-----------------------------------------------------------------------------------+</w:t>
      </w:r>
      <w:r>
        <w:rPr>
          <w:rFonts w:ascii="Times New Roman" w:hAnsi="Times New Roman"/>
          <w:b w:val="0"/>
          <w:sz w:val="18"/>
        </w:rPr>
        <w:t xml:space="preserve">    </w:t>
        <w:tab/>
        <w:t>Fig. 1. End-to-End Deep Learning Architecture</w:t>
      </w:r>
    </w:p>
    <w:p>
      <w:pPr>
        <w:keepNext/>
        <w:spacing w:before="200" w:after="60"/>
        <w:jc w:val="left"/>
      </w:pPr>
      <w:r>
        <w:rPr>
          <w:rFonts w:ascii="Times New Roman" w:hAnsi="Times New Roman"/>
          <w:b/>
          <w:i/>
          <w:color w:val="134074"/>
          <w:sz w:val="20"/>
        </w:rPr>
        <w:t>C. Functional and Non-Functional Requirements</w:t>
      </w:r>
    </w:p>
    <w:p>
      <w:pPr>
        <w:spacing w:line="276" w:lineRule="auto" w:after="120"/>
        <w:jc w:val="both"/>
      </w:pPr>
      <w:r>
        <w:rPr>
          <w:rFonts w:ascii="Times New Roman" w:hAnsi="Times New Roman"/>
          <w:sz w:val="19"/>
        </w:rPr>
        <w:t>Table II summarizes the functional and non-functional requirements governing the proposed system.</w:t>
      </w:r>
    </w:p>
    <w:p>
      <w:pPr>
        <w:keepNext/>
        <w:spacing w:before="240" w:after="40"/>
        <w:jc w:val="center"/>
      </w:pPr>
      <w:r>
        <w:rPr>
          <w:rFonts w:ascii="Times New Roman" w:hAnsi="Times New Roman"/>
          <w:b/>
          <w:sz w:val="17"/>
        </w:rPr>
        <w:t>TABLE II</w:t>
        <w:br/>
      </w:r>
      <w:r>
        <w:rPr>
          <w:rFonts w:ascii="Times New Roman" w:hAnsi="Times New Roman"/>
          <w:b/>
          <w:color w:val="0B2545"/>
          <w:sz w:val="17"/>
        </w:rPr>
        <w:t>FUNCTIONAL AND NON-FUNCTIONAL SYSTEM REQUIREMENTS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456"/>
        <w:gridCol w:w="3456"/>
        <w:gridCol w:w="3456"/>
      </w:tblGrid>
      <w:tr>
        <w:tc>
          <w:tcPr>
            <w:tcW w:type="dxa" w:w="1728"/>
            <w:shd w:fill="0B2545"/>
            <w:tcMar>
              <w:top w:w="80" w:type="dxa"/>
              <w:bottom w:w="80" w:type="dxa"/>
              <w:left w:w="100" w:type="dxa"/>
              <w:right w:w="100" w:type="dxa"/>
            </w:tcMar>
          </w:tcPr>
          <w:p>
            <w:pPr>
              <w:jc w:val="center"/>
            </w:pPr>
            <w:r>
              <w:rPr>
                <w:rFonts w:ascii="Times New Roman" w:hAnsi="Times New Roman"/>
                <w:b/>
                <w:color w:val="FFFFFF"/>
                <w:sz w:val="17"/>
              </w:rPr>
              <w:t>Category</w:t>
            </w:r>
          </w:p>
        </w:tc>
        <w:tc>
          <w:tcPr>
            <w:tcW w:type="dxa" w:w="4320"/>
            <w:shd w:fill="0B2545"/>
            <w:tcMar>
              <w:top w:w="80" w:type="dxa"/>
              <w:bottom w:w="80" w:type="dxa"/>
              <w:left w:w="100" w:type="dxa"/>
              <w:right w:w="100" w:type="dxa"/>
            </w:tcMar>
          </w:tcPr>
          <w:p>
            <w:pPr>
              <w:jc w:val="center"/>
            </w:pPr>
            <w:r>
              <w:rPr>
                <w:rFonts w:ascii="Times New Roman" w:hAnsi="Times New Roman"/>
                <w:b/>
                <w:color w:val="FFFFFF"/>
                <w:sz w:val="17"/>
              </w:rPr>
              <w:t>Requirement Specification</w:t>
            </w:r>
          </w:p>
        </w:tc>
        <w:tc>
          <w:tcPr>
            <w:tcW w:type="dxa" w:w="4320"/>
            <w:shd w:fill="0B2545"/>
            <w:tcMar>
              <w:top w:w="80" w:type="dxa"/>
              <w:bottom w:w="80" w:type="dxa"/>
              <w:left w:w="100" w:type="dxa"/>
              <w:right w:w="100" w:type="dxa"/>
            </w:tcMar>
          </w:tcPr>
          <w:p>
            <w:pPr>
              <w:jc w:val="center"/>
            </w:pPr>
            <w:r>
              <w:rPr>
                <w:rFonts w:ascii="Times New Roman" w:hAnsi="Times New Roman"/>
                <w:b/>
                <w:color w:val="FFFFFF"/>
                <w:sz w:val="17"/>
              </w:rPr>
              <w:t>Target Engineering Metric / Standard</w:t>
            </w:r>
          </w:p>
        </w:tc>
      </w:tr>
      <w:tr>
        <w:tc>
          <w:tcPr>
            <w:tcW w:type="dxa" w:w="1728"/>
            <w:shd w:fill="FFFFFF"/>
            <w:tcMar>
              <w:top w:w="60" w:type="dxa"/>
              <w:bottom w:w="60" w:type="dxa"/>
              <w:left w:w="80" w:type="dxa"/>
              <w:right w:w="80" w:type="dxa"/>
            </w:tcMar>
          </w:tcPr>
          <w:p>
            <w:pPr>
              <w:jc w:val="left"/>
            </w:pPr>
            <w:r>
              <w:rPr>
                <w:rFonts w:ascii="Times New Roman" w:hAnsi="Times New Roman"/>
                <w:sz w:val="16"/>
              </w:rPr>
              <w:t>FR1: Data Ingestion</w:t>
            </w:r>
          </w:p>
        </w:tc>
        <w:tc>
          <w:tcPr>
            <w:tcW w:type="dxa" w:w="4320"/>
            <w:shd w:fill="FFFFFF"/>
            <w:tcMar>
              <w:top w:w="60" w:type="dxa"/>
              <w:bottom w:w="60" w:type="dxa"/>
              <w:left w:w="80" w:type="dxa"/>
              <w:right w:w="80" w:type="dxa"/>
            </w:tcMar>
          </w:tcPr>
          <w:p>
            <w:pPr>
              <w:jc w:val="left"/>
            </w:pPr>
            <w:r>
              <w:rPr>
                <w:rFonts w:ascii="Times New Roman" w:hAnsi="Times New Roman"/>
                <w:sz w:val="16"/>
              </w:rPr>
              <w:t>Continuous ingestion of 9 ambient parameters at hourly intervals.</w:t>
            </w:r>
          </w:p>
        </w:tc>
        <w:tc>
          <w:tcPr>
            <w:tcW w:type="dxa" w:w="4320"/>
            <w:shd w:fill="FFFFFF"/>
            <w:tcMar>
              <w:top w:w="60" w:type="dxa"/>
              <w:bottom w:w="60" w:type="dxa"/>
              <w:left w:w="80" w:type="dxa"/>
              <w:right w:w="80" w:type="dxa"/>
            </w:tcMar>
          </w:tcPr>
          <w:p>
            <w:pPr>
              <w:jc w:val="left"/>
            </w:pPr>
            <w:r>
              <w:rPr>
                <w:rFonts w:ascii="Times New Roman" w:hAnsi="Times New Roman"/>
                <w:sz w:val="16"/>
              </w:rPr>
              <w:t>Sensirion SPS30, Alphasense electrochemical sensors.</w:t>
            </w:r>
          </w:p>
        </w:tc>
      </w:tr>
      <w:tr>
        <w:tc>
          <w:tcPr>
            <w:tcW w:type="dxa" w:w="1728"/>
            <w:shd w:fill="F9FBFD"/>
            <w:tcMar>
              <w:top w:w="60" w:type="dxa"/>
              <w:bottom w:w="60" w:type="dxa"/>
              <w:left w:w="80" w:type="dxa"/>
              <w:right w:w="80" w:type="dxa"/>
            </w:tcMar>
          </w:tcPr>
          <w:p>
            <w:pPr>
              <w:jc w:val="left"/>
            </w:pPr>
            <w:r>
              <w:rPr>
                <w:rFonts w:ascii="Times New Roman" w:hAnsi="Times New Roman"/>
                <w:sz w:val="16"/>
              </w:rPr>
              <w:t>FR2: Imputation</w:t>
            </w:r>
          </w:p>
        </w:tc>
        <w:tc>
          <w:tcPr>
            <w:tcW w:type="dxa" w:w="4320"/>
            <w:shd w:fill="F9FBFD"/>
            <w:tcMar>
              <w:top w:w="60" w:type="dxa"/>
              <w:bottom w:w="60" w:type="dxa"/>
              <w:left w:w="80" w:type="dxa"/>
              <w:right w:w="80" w:type="dxa"/>
            </w:tcMar>
          </w:tcPr>
          <w:p>
            <w:pPr>
              <w:jc w:val="left"/>
            </w:pPr>
            <w:r>
              <w:rPr>
                <w:rFonts w:ascii="Times New Roman" w:hAnsi="Times New Roman"/>
                <w:sz w:val="16"/>
              </w:rPr>
              <w:t>Automated linear interpolation for missing sequence packets.</w:t>
            </w:r>
          </w:p>
        </w:tc>
        <w:tc>
          <w:tcPr>
            <w:tcW w:type="dxa" w:w="4320"/>
            <w:shd w:fill="F9FBFD"/>
            <w:tcMar>
              <w:top w:w="60" w:type="dxa"/>
              <w:bottom w:w="60" w:type="dxa"/>
              <w:left w:w="80" w:type="dxa"/>
              <w:right w:w="80" w:type="dxa"/>
            </w:tcMar>
          </w:tcPr>
          <w:p>
            <w:pPr>
              <w:jc w:val="left"/>
            </w:pPr>
            <w:r>
              <w:rPr>
                <w:rFonts w:ascii="Times New Roman" w:hAnsi="Times New Roman"/>
                <w:sz w:val="16"/>
              </w:rPr>
              <w:t>Maintains &lt;8% error growth under 25% packet drops.</w:t>
            </w:r>
          </w:p>
        </w:tc>
      </w:tr>
      <w:tr>
        <w:tc>
          <w:tcPr>
            <w:tcW w:type="dxa" w:w="1728"/>
            <w:shd w:fill="FFFFFF"/>
            <w:tcMar>
              <w:top w:w="60" w:type="dxa"/>
              <w:bottom w:w="60" w:type="dxa"/>
              <w:left w:w="80" w:type="dxa"/>
              <w:right w:w="80" w:type="dxa"/>
            </w:tcMar>
          </w:tcPr>
          <w:p>
            <w:pPr>
              <w:jc w:val="left"/>
            </w:pPr>
            <w:r>
              <w:rPr>
                <w:rFonts w:ascii="Times New Roman" w:hAnsi="Times New Roman"/>
                <w:sz w:val="16"/>
              </w:rPr>
              <w:t>FR3: AQI Computation</w:t>
            </w:r>
          </w:p>
        </w:tc>
        <w:tc>
          <w:tcPr>
            <w:tcW w:type="dxa" w:w="4320"/>
            <w:shd w:fill="FFFFFF"/>
            <w:tcMar>
              <w:top w:w="60" w:type="dxa"/>
              <w:bottom w:w="60" w:type="dxa"/>
              <w:left w:w="80" w:type="dxa"/>
              <w:right w:w="80" w:type="dxa"/>
            </w:tcMar>
          </w:tcPr>
          <w:p>
            <w:pPr>
              <w:jc w:val="left"/>
            </w:pPr>
            <w:r>
              <w:rPr>
                <w:rFonts w:ascii="Times New Roman" w:hAnsi="Times New Roman"/>
                <w:sz w:val="16"/>
              </w:rPr>
              <w:t>Piecewise linear CPCB sub-index calculation &amp; tier assignment.</w:t>
            </w:r>
          </w:p>
        </w:tc>
        <w:tc>
          <w:tcPr>
            <w:tcW w:type="dxa" w:w="4320"/>
            <w:shd w:fill="FFFFFF"/>
            <w:tcMar>
              <w:top w:w="60" w:type="dxa"/>
              <w:bottom w:w="60" w:type="dxa"/>
              <w:left w:w="80" w:type="dxa"/>
              <w:right w:w="80" w:type="dxa"/>
            </w:tcMar>
          </w:tcPr>
          <w:p>
            <w:pPr>
              <w:jc w:val="left"/>
            </w:pPr>
            <w:r>
              <w:rPr>
                <w:rFonts w:ascii="Times New Roman" w:hAnsi="Times New Roman"/>
                <w:sz w:val="16"/>
              </w:rPr>
              <w:t>Standard breakpoint compliance (Good to Severe).</w:t>
            </w:r>
          </w:p>
        </w:tc>
      </w:tr>
      <w:tr>
        <w:tc>
          <w:tcPr>
            <w:tcW w:type="dxa" w:w="1728"/>
            <w:shd w:fill="F9FBFD"/>
            <w:tcMar>
              <w:top w:w="60" w:type="dxa"/>
              <w:bottom w:w="60" w:type="dxa"/>
              <w:left w:w="80" w:type="dxa"/>
              <w:right w:w="80" w:type="dxa"/>
            </w:tcMar>
          </w:tcPr>
          <w:p>
            <w:pPr>
              <w:jc w:val="left"/>
            </w:pPr>
            <w:r>
              <w:rPr>
                <w:rFonts w:ascii="Times New Roman" w:hAnsi="Times New Roman"/>
                <w:sz w:val="16"/>
              </w:rPr>
              <w:t>FR4: 24h Forecasting</w:t>
            </w:r>
          </w:p>
        </w:tc>
        <w:tc>
          <w:tcPr>
            <w:tcW w:type="dxa" w:w="4320"/>
            <w:shd w:fill="F9FBFD"/>
            <w:tcMar>
              <w:top w:w="60" w:type="dxa"/>
              <w:bottom w:w="60" w:type="dxa"/>
              <w:left w:w="80" w:type="dxa"/>
              <w:right w:w="80" w:type="dxa"/>
            </w:tcMar>
          </w:tcPr>
          <w:p>
            <w:pPr>
              <w:jc w:val="left"/>
            </w:pPr>
            <w:r>
              <w:rPr>
                <w:rFonts w:ascii="Times New Roman" w:hAnsi="Times New Roman"/>
                <w:sz w:val="16"/>
              </w:rPr>
              <w:t>Multi-step forward pass predicting AQI 24 hours in advance.</w:t>
            </w:r>
          </w:p>
        </w:tc>
        <w:tc>
          <w:tcPr>
            <w:tcW w:type="dxa" w:w="4320"/>
            <w:shd w:fill="F9FBFD"/>
            <w:tcMar>
              <w:top w:w="60" w:type="dxa"/>
              <w:bottom w:w="60" w:type="dxa"/>
              <w:left w:w="80" w:type="dxa"/>
              <w:right w:w="80" w:type="dxa"/>
            </w:tcMar>
          </w:tcPr>
          <w:p>
            <w:pPr>
              <w:jc w:val="left"/>
            </w:pPr>
            <w:r>
              <w:rPr>
                <w:rFonts w:ascii="Times New Roman" w:hAnsi="Times New Roman"/>
                <w:sz w:val="16"/>
              </w:rPr>
              <w:t>R² ≥ 0.80, MAE ≤ 12.5 on chronological test partition.</w:t>
            </w:r>
          </w:p>
        </w:tc>
      </w:tr>
      <w:tr>
        <w:tc>
          <w:tcPr>
            <w:tcW w:type="dxa" w:w="1728"/>
            <w:shd w:fill="FFFFFF"/>
            <w:tcMar>
              <w:top w:w="60" w:type="dxa"/>
              <w:bottom w:w="60" w:type="dxa"/>
              <w:left w:w="80" w:type="dxa"/>
              <w:right w:w="80" w:type="dxa"/>
            </w:tcMar>
          </w:tcPr>
          <w:p>
            <w:pPr>
              <w:jc w:val="left"/>
            </w:pPr>
            <w:r>
              <w:rPr>
                <w:rFonts w:ascii="Times New Roman" w:hAnsi="Times New Roman"/>
                <w:sz w:val="16"/>
              </w:rPr>
              <w:t>NFR: Latency &amp; UI</w:t>
            </w:r>
          </w:p>
        </w:tc>
        <w:tc>
          <w:tcPr>
            <w:tcW w:type="dxa" w:w="4320"/>
            <w:shd w:fill="FFFFFF"/>
            <w:tcMar>
              <w:top w:w="60" w:type="dxa"/>
              <w:bottom w:w="60" w:type="dxa"/>
              <w:left w:w="80" w:type="dxa"/>
              <w:right w:w="80" w:type="dxa"/>
            </w:tcMar>
          </w:tcPr>
          <w:p>
            <w:pPr>
              <w:jc w:val="left"/>
            </w:pPr>
            <w:r>
              <w:rPr>
                <w:rFonts w:ascii="Times New Roman" w:hAnsi="Times New Roman"/>
                <w:sz w:val="16"/>
              </w:rPr>
              <w:t>Sub-10ms inference latency with responsive glassmorphism portal.</w:t>
            </w:r>
          </w:p>
        </w:tc>
        <w:tc>
          <w:tcPr>
            <w:tcW w:type="dxa" w:w="4320"/>
            <w:shd w:fill="FFFFFF"/>
            <w:tcMar>
              <w:top w:w="60" w:type="dxa"/>
              <w:bottom w:w="60" w:type="dxa"/>
              <w:left w:w="80" w:type="dxa"/>
              <w:right w:w="80" w:type="dxa"/>
            </w:tcMar>
          </w:tcPr>
          <w:p>
            <w:pPr>
              <w:jc w:val="left"/>
            </w:pPr>
            <w:r>
              <w:rPr>
                <w:rFonts w:ascii="Times New Roman" w:hAnsi="Times New Roman"/>
                <w:sz w:val="16"/>
              </w:rPr>
              <w:t>FastAPI backend running at ~3.8ms per forward pass.</w:t>
            </w:r>
          </w:p>
        </w:tc>
      </w:tr>
    </w:tbl>
    <w:p>
      <w:pPr>
        <w:spacing w:after="160"/>
      </w:pPr>
    </w:p>
    <w:p>
      <w:pPr>
        <w:keepNext/>
        <w:spacing w:before="280" w:after="80"/>
        <w:jc w:val="left"/>
      </w:pPr>
      <w:r>
        <w:rPr>
          <w:rFonts w:ascii="Times New Roman" w:hAnsi="Times New Roman"/>
          <w:b/>
          <w:color w:val="0B2545"/>
          <w:sz w:val="22"/>
        </w:rPr>
        <w:t>IV. PROPOSED METHODOLOGY &amp; TECHNICAL APPROACH</w:t>
      </w:r>
    </w:p>
    <w:p>
      <w:pPr>
        <w:keepNext/>
        <w:spacing w:before="200" w:after="60"/>
        <w:jc w:val="left"/>
      </w:pPr>
      <w:r>
        <w:rPr>
          <w:rFonts w:ascii="Times New Roman" w:hAnsi="Times New Roman"/>
          <w:b/>
          <w:i/>
          <w:color w:val="134074"/>
          <w:sz w:val="20"/>
        </w:rPr>
        <w:t>A. Dataset Specification and Sensor Hardware</w:t>
      </w:r>
    </w:p>
    <w:p>
      <w:pPr>
        <w:spacing w:line="276" w:lineRule="auto" w:after="120"/>
        <w:jc w:val="both"/>
      </w:pPr>
      <w:r>
        <w:rPr>
          <w:rFonts w:ascii="Times New Roman" w:hAnsi="Times New Roman"/>
          <w:sz w:val="19"/>
        </w:rPr>
        <w:t>The dataset represents an annual meteorological cycle comprising 8,760 hourly time-series observations collected from campus monitoring stations. The input vector x_t ∈ R^D incorporates 9 calibrated physical telemetry features, as described in Table III.</w:t>
      </w:r>
    </w:p>
    <w:p>
      <w:pPr>
        <w:keepNext/>
        <w:spacing w:before="240" w:after="40"/>
        <w:jc w:val="center"/>
      </w:pPr>
      <w:r>
        <w:rPr>
          <w:rFonts w:ascii="Times New Roman" w:hAnsi="Times New Roman"/>
          <w:b/>
          <w:sz w:val="17"/>
        </w:rPr>
        <w:t>TABLE III</w:t>
        <w:br/>
      </w:r>
      <w:r>
        <w:rPr>
          <w:rFonts w:ascii="Times New Roman" w:hAnsi="Times New Roman"/>
          <w:b/>
          <w:color w:val="0B2545"/>
          <w:sz w:val="17"/>
        </w:rPr>
        <w:t>ENVIRONMENTAL TELEMETRY DATASET ATTRIBUTES AND HARDWARE SPECIFICATIONS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2592"/>
        <w:gridCol w:w="2592"/>
        <w:gridCol w:w="2592"/>
        <w:gridCol w:w="2592"/>
      </w:tblGrid>
      <w:tr>
        <w:tc>
          <w:tcPr>
            <w:tcW w:type="dxa" w:w="2592"/>
            <w:shd w:fill="0B2545"/>
            <w:tcMar>
              <w:top w:w="80" w:type="dxa"/>
              <w:bottom w:w="80" w:type="dxa"/>
              <w:left w:w="100" w:type="dxa"/>
              <w:right w:w="100" w:type="dxa"/>
            </w:tcMar>
          </w:tcPr>
          <w:p>
            <w:pPr>
              <w:jc w:val="center"/>
            </w:pPr>
            <w:r>
              <w:rPr>
                <w:rFonts w:ascii="Times New Roman" w:hAnsi="Times New Roman"/>
                <w:b/>
                <w:color w:val="FFFFFF"/>
                <w:sz w:val="17"/>
              </w:rPr>
              <w:t>Attribute Name</w:t>
            </w:r>
          </w:p>
        </w:tc>
        <w:tc>
          <w:tcPr>
            <w:tcW w:type="dxa" w:w="2016"/>
            <w:shd w:fill="0B2545"/>
            <w:tcMar>
              <w:top w:w="80" w:type="dxa"/>
              <w:bottom w:w="80" w:type="dxa"/>
              <w:left w:w="100" w:type="dxa"/>
              <w:right w:w="100" w:type="dxa"/>
            </w:tcMar>
          </w:tcPr>
          <w:p>
            <w:pPr>
              <w:jc w:val="center"/>
            </w:pPr>
            <w:r>
              <w:rPr>
                <w:rFonts w:ascii="Times New Roman" w:hAnsi="Times New Roman"/>
                <w:b/>
                <w:color w:val="FFFFFF"/>
                <w:sz w:val="17"/>
              </w:rPr>
              <w:t>Physical Unit</w:t>
            </w:r>
          </w:p>
        </w:tc>
        <w:tc>
          <w:tcPr>
            <w:tcW w:type="dxa" w:w="2592"/>
            <w:shd w:fill="0B2545"/>
            <w:tcMar>
              <w:top w:w="80" w:type="dxa"/>
              <w:bottom w:w="80" w:type="dxa"/>
              <w:left w:w="100" w:type="dxa"/>
              <w:right w:w="100" w:type="dxa"/>
            </w:tcMar>
          </w:tcPr>
          <w:p>
            <w:pPr>
              <w:jc w:val="center"/>
            </w:pPr>
            <w:r>
              <w:rPr>
                <w:rFonts w:ascii="Times New Roman" w:hAnsi="Times New Roman"/>
                <w:b/>
                <w:color w:val="FFFFFF"/>
                <w:sz w:val="17"/>
              </w:rPr>
              <w:t>Operational Range</w:t>
            </w:r>
          </w:p>
        </w:tc>
        <w:tc>
          <w:tcPr>
            <w:tcW w:type="dxa" w:w="3168"/>
            <w:shd w:fill="0B2545"/>
            <w:tcMar>
              <w:top w:w="80" w:type="dxa"/>
              <w:bottom w:w="80" w:type="dxa"/>
              <w:left w:w="100" w:type="dxa"/>
              <w:right w:w="100" w:type="dxa"/>
            </w:tcMar>
          </w:tcPr>
          <w:p>
            <w:pPr>
              <w:jc w:val="center"/>
            </w:pPr>
            <w:r>
              <w:rPr>
                <w:rFonts w:ascii="Times New Roman" w:hAnsi="Times New Roman"/>
                <w:b/>
                <w:color w:val="FFFFFF"/>
                <w:sz w:val="17"/>
              </w:rPr>
              <w:t>Sensor Hardware Component</w:t>
            </w:r>
          </w:p>
        </w:tc>
      </w:tr>
      <w:tr>
        <w:tc>
          <w:tcPr>
            <w:tcW w:type="dxa" w:w="2592"/>
            <w:shd w:fill="FFFFFF"/>
            <w:tcMar>
              <w:top w:w="50" w:type="dxa"/>
              <w:bottom w:w="50" w:type="dxa"/>
              <w:left w:w="70" w:type="dxa"/>
              <w:right w:w="70" w:type="dxa"/>
            </w:tcMar>
          </w:tcPr>
          <w:p>
            <w:pPr>
              <w:jc w:val="left"/>
            </w:pPr>
            <w:r>
              <w:rPr>
                <w:rFonts w:ascii="Times New Roman" w:hAnsi="Times New Roman"/>
                <w:sz w:val="16"/>
              </w:rPr>
              <w:t>PM2.5 (Fine Particulates)</w:t>
            </w:r>
          </w:p>
        </w:tc>
        <w:tc>
          <w:tcPr>
            <w:tcW w:type="dxa" w:w="2016"/>
            <w:shd w:fill="FFFFFF"/>
            <w:tcMar>
              <w:top w:w="50" w:type="dxa"/>
              <w:bottom w:w="50" w:type="dxa"/>
              <w:left w:w="70" w:type="dxa"/>
              <w:right w:w="70" w:type="dxa"/>
            </w:tcMar>
          </w:tcPr>
          <w:p>
            <w:pPr>
              <w:jc w:val="left"/>
            </w:pPr>
            <w:r>
              <w:rPr>
                <w:rFonts w:ascii="Times New Roman" w:hAnsi="Times New Roman"/>
                <w:sz w:val="16"/>
              </w:rPr>
              <w:t>µg/m³</w:t>
            </w:r>
          </w:p>
        </w:tc>
        <w:tc>
          <w:tcPr>
            <w:tcW w:type="dxa" w:w="2592"/>
            <w:shd w:fill="FFFFFF"/>
            <w:tcMar>
              <w:top w:w="50" w:type="dxa"/>
              <w:bottom w:w="50" w:type="dxa"/>
              <w:left w:w="70" w:type="dxa"/>
              <w:right w:w="70" w:type="dxa"/>
            </w:tcMar>
          </w:tcPr>
          <w:p>
            <w:pPr>
              <w:jc w:val="left"/>
            </w:pPr>
            <w:r>
              <w:rPr>
                <w:rFonts w:ascii="Times New Roman" w:hAnsi="Times New Roman"/>
                <w:sz w:val="16"/>
              </w:rPr>
              <w:t>0.0 – 500.0 µg/m³</w:t>
            </w:r>
          </w:p>
        </w:tc>
        <w:tc>
          <w:tcPr>
            <w:tcW w:type="dxa" w:w="3168"/>
            <w:shd w:fill="FFFFFF"/>
            <w:tcMar>
              <w:top w:w="50" w:type="dxa"/>
              <w:bottom w:w="50" w:type="dxa"/>
              <w:left w:w="70" w:type="dxa"/>
              <w:right w:w="70" w:type="dxa"/>
            </w:tcMar>
          </w:tcPr>
          <w:p>
            <w:pPr>
              <w:jc w:val="left"/>
            </w:pPr>
            <w:r>
              <w:rPr>
                <w:rFonts w:ascii="Times New Roman" w:hAnsi="Times New Roman"/>
                <w:sz w:val="16"/>
              </w:rPr>
              <w:t>Sensirion SPS30 Optical Particle Counter</w:t>
            </w:r>
          </w:p>
        </w:tc>
      </w:tr>
      <w:tr>
        <w:tc>
          <w:tcPr>
            <w:tcW w:type="dxa" w:w="2592"/>
            <w:shd w:fill="F9FBFD"/>
            <w:tcMar>
              <w:top w:w="50" w:type="dxa"/>
              <w:bottom w:w="50" w:type="dxa"/>
              <w:left w:w="70" w:type="dxa"/>
              <w:right w:w="70" w:type="dxa"/>
            </w:tcMar>
          </w:tcPr>
          <w:p>
            <w:pPr>
              <w:jc w:val="left"/>
            </w:pPr>
            <w:r>
              <w:rPr>
                <w:rFonts w:ascii="Times New Roman" w:hAnsi="Times New Roman"/>
                <w:sz w:val="16"/>
              </w:rPr>
              <w:t>PM10 (Coarse Particulates)</w:t>
            </w:r>
          </w:p>
        </w:tc>
        <w:tc>
          <w:tcPr>
            <w:tcW w:type="dxa" w:w="2016"/>
            <w:shd w:fill="F9FBFD"/>
            <w:tcMar>
              <w:top w:w="50" w:type="dxa"/>
              <w:bottom w:w="50" w:type="dxa"/>
              <w:left w:w="70" w:type="dxa"/>
              <w:right w:w="70" w:type="dxa"/>
            </w:tcMar>
          </w:tcPr>
          <w:p>
            <w:pPr>
              <w:jc w:val="left"/>
            </w:pPr>
            <w:r>
              <w:rPr>
                <w:rFonts w:ascii="Times New Roman" w:hAnsi="Times New Roman"/>
                <w:sz w:val="16"/>
              </w:rPr>
              <w:t>µg/m³</w:t>
            </w:r>
          </w:p>
        </w:tc>
        <w:tc>
          <w:tcPr>
            <w:tcW w:type="dxa" w:w="2592"/>
            <w:shd w:fill="F9FBFD"/>
            <w:tcMar>
              <w:top w:w="50" w:type="dxa"/>
              <w:bottom w:w="50" w:type="dxa"/>
              <w:left w:w="70" w:type="dxa"/>
              <w:right w:w="70" w:type="dxa"/>
            </w:tcMar>
          </w:tcPr>
          <w:p>
            <w:pPr>
              <w:jc w:val="left"/>
            </w:pPr>
            <w:r>
              <w:rPr>
                <w:rFonts w:ascii="Times New Roman" w:hAnsi="Times New Roman"/>
                <w:sz w:val="16"/>
              </w:rPr>
              <w:t>0.0 – 600.0 µg/m³</w:t>
            </w:r>
          </w:p>
        </w:tc>
        <w:tc>
          <w:tcPr>
            <w:tcW w:type="dxa" w:w="3168"/>
            <w:shd w:fill="F9FBFD"/>
            <w:tcMar>
              <w:top w:w="50" w:type="dxa"/>
              <w:bottom w:w="50" w:type="dxa"/>
              <w:left w:w="70" w:type="dxa"/>
              <w:right w:w="70" w:type="dxa"/>
            </w:tcMar>
          </w:tcPr>
          <w:p>
            <w:pPr>
              <w:jc w:val="left"/>
            </w:pPr>
            <w:r>
              <w:rPr>
                <w:rFonts w:ascii="Times New Roman" w:hAnsi="Times New Roman"/>
                <w:sz w:val="16"/>
              </w:rPr>
              <w:t>Sensirion SPS30 Optical Particle Counter</w:t>
            </w:r>
          </w:p>
        </w:tc>
      </w:tr>
      <w:tr>
        <w:tc>
          <w:tcPr>
            <w:tcW w:type="dxa" w:w="2592"/>
            <w:shd w:fill="FFFFFF"/>
            <w:tcMar>
              <w:top w:w="50" w:type="dxa"/>
              <w:bottom w:w="50" w:type="dxa"/>
              <w:left w:w="70" w:type="dxa"/>
              <w:right w:w="70" w:type="dxa"/>
            </w:tcMar>
          </w:tcPr>
          <w:p>
            <w:pPr>
              <w:jc w:val="left"/>
            </w:pPr>
            <w:r>
              <w:rPr>
                <w:rFonts w:ascii="Times New Roman" w:hAnsi="Times New Roman"/>
                <w:sz w:val="16"/>
              </w:rPr>
              <w:t>NO2 (Nitrogen Dioxide)</w:t>
            </w:r>
          </w:p>
        </w:tc>
        <w:tc>
          <w:tcPr>
            <w:tcW w:type="dxa" w:w="2016"/>
            <w:shd w:fill="FFFFFF"/>
            <w:tcMar>
              <w:top w:w="50" w:type="dxa"/>
              <w:bottom w:w="50" w:type="dxa"/>
              <w:left w:w="70" w:type="dxa"/>
              <w:right w:w="70" w:type="dxa"/>
            </w:tcMar>
          </w:tcPr>
          <w:p>
            <w:pPr>
              <w:jc w:val="left"/>
            </w:pPr>
            <w:r>
              <w:rPr>
                <w:rFonts w:ascii="Times New Roman" w:hAnsi="Times New Roman"/>
                <w:sz w:val="16"/>
              </w:rPr>
              <w:t>µg/m³</w:t>
            </w:r>
          </w:p>
        </w:tc>
        <w:tc>
          <w:tcPr>
            <w:tcW w:type="dxa" w:w="2592"/>
            <w:shd w:fill="FFFFFF"/>
            <w:tcMar>
              <w:top w:w="50" w:type="dxa"/>
              <w:bottom w:w="50" w:type="dxa"/>
              <w:left w:w="70" w:type="dxa"/>
              <w:right w:w="70" w:type="dxa"/>
            </w:tcMar>
          </w:tcPr>
          <w:p>
            <w:pPr>
              <w:jc w:val="left"/>
            </w:pPr>
            <w:r>
              <w:rPr>
                <w:rFonts w:ascii="Times New Roman" w:hAnsi="Times New Roman"/>
                <w:sz w:val="16"/>
              </w:rPr>
              <w:t>0.0 – 400.0 µg/m³</w:t>
            </w:r>
          </w:p>
        </w:tc>
        <w:tc>
          <w:tcPr>
            <w:tcW w:type="dxa" w:w="3168"/>
            <w:shd w:fill="FFFFFF"/>
            <w:tcMar>
              <w:top w:w="50" w:type="dxa"/>
              <w:bottom w:w="50" w:type="dxa"/>
              <w:left w:w="70" w:type="dxa"/>
              <w:right w:w="70" w:type="dxa"/>
            </w:tcMar>
          </w:tcPr>
          <w:p>
            <w:pPr>
              <w:jc w:val="left"/>
            </w:pPr>
            <w:r>
              <w:rPr>
                <w:rFonts w:ascii="Times New Roman" w:hAnsi="Times New Roman"/>
                <w:sz w:val="16"/>
              </w:rPr>
              <w:t>Alphasense NO2-B43F Electrochemical</w:t>
            </w:r>
          </w:p>
        </w:tc>
      </w:tr>
      <w:tr>
        <w:tc>
          <w:tcPr>
            <w:tcW w:type="dxa" w:w="2592"/>
            <w:shd w:fill="F9FBFD"/>
            <w:tcMar>
              <w:top w:w="50" w:type="dxa"/>
              <w:bottom w:w="50" w:type="dxa"/>
              <w:left w:w="70" w:type="dxa"/>
              <w:right w:w="70" w:type="dxa"/>
            </w:tcMar>
          </w:tcPr>
          <w:p>
            <w:pPr>
              <w:jc w:val="left"/>
            </w:pPr>
            <w:r>
              <w:rPr>
                <w:rFonts w:ascii="Times New Roman" w:hAnsi="Times New Roman"/>
                <w:sz w:val="16"/>
              </w:rPr>
              <w:t>SO2 (Sulfur Dioxide)</w:t>
            </w:r>
          </w:p>
        </w:tc>
        <w:tc>
          <w:tcPr>
            <w:tcW w:type="dxa" w:w="2016"/>
            <w:shd w:fill="F9FBFD"/>
            <w:tcMar>
              <w:top w:w="50" w:type="dxa"/>
              <w:bottom w:w="50" w:type="dxa"/>
              <w:left w:w="70" w:type="dxa"/>
              <w:right w:w="70" w:type="dxa"/>
            </w:tcMar>
          </w:tcPr>
          <w:p>
            <w:pPr>
              <w:jc w:val="left"/>
            </w:pPr>
            <w:r>
              <w:rPr>
                <w:rFonts w:ascii="Times New Roman" w:hAnsi="Times New Roman"/>
                <w:sz w:val="16"/>
              </w:rPr>
              <w:t>µg/m³</w:t>
            </w:r>
          </w:p>
        </w:tc>
        <w:tc>
          <w:tcPr>
            <w:tcW w:type="dxa" w:w="2592"/>
            <w:shd w:fill="F9FBFD"/>
            <w:tcMar>
              <w:top w:w="50" w:type="dxa"/>
              <w:bottom w:w="50" w:type="dxa"/>
              <w:left w:w="70" w:type="dxa"/>
              <w:right w:w="70" w:type="dxa"/>
            </w:tcMar>
          </w:tcPr>
          <w:p>
            <w:pPr>
              <w:jc w:val="left"/>
            </w:pPr>
            <w:r>
              <w:rPr>
                <w:rFonts w:ascii="Times New Roman" w:hAnsi="Times New Roman"/>
                <w:sz w:val="16"/>
              </w:rPr>
              <w:t>0.0 – 2000.0 µg/m³</w:t>
            </w:r>
          </w:p>
        </w:tc>
        <w:tc>
          <w:tcPr>
            <w:tcW w:type="dxa" w:w="3168"/>
            <w:shd w:fill="F9FBFD"/>
            <w:tcMar>
              <w:top w:w="50" w:type="dxa"/>
              <w:bottom w:w="50" w:type="dxa"/>
              <w:left w:w="70" w:type="dxa"/>
              <w:right w:w="70" w:type="dxa"/>
            </w:tcMar>
          </w:tcPr>
          <w:p>
            <w:pPr>
              <w:jc w:val="left"/>
            </w:pPr>
            <w:r>
              <w:rPr>
                <w:rFonts w:ascii="Times New Roman" w:hAnsi="Times New Roman"/>
                <w:sz w:val="16"/>
              </w:rPr>
              <w:t>Alphasense SO2-B4 Electrochemical</w:t>
            </w:r>
          </w:p>
        </w:tc>
      </w:tr>
      <w:tr>
        <w:tc>
          <w:tcPr>
            <w:tcW w:type="dxa" w:w="2592"/>
            <w:shd w:fill="FFFFFF"/>
            <w:tcMar>
              <w:top w:w="50" w:type="dxa"/>
              <w:bottom w:w="50" w:type="dxa"/>
              <w:left w:w="70" w:type="dxa"/>
              <w:right w:w="70" w:type="dxa"/>
            </w:tcMar>
          </w:tcPr>
          <w:p>
            <w:pPr>
              <w:jc w:val="left"/>
            </w:pPr>
            <w:r>
              <w:rPr>
                <w:rFonts w:ascii="Times New Roman" w:hAnsi="Times New Roman"/>
                <w:sz w:val="16"/>
              </w:rPr>
              <w:t>CO (Carbon Monoxide)</w:t>
            </w:r>
          </w:p>
        </w:tc>
        <w:tc>
          <w:tcPr>
            <w:tcW w:type="dxa" w:w="2016"/>
            <w:shd w:fill="FFFFFF"/>
            <w:tcMar>
              <w:top w:w="50" w:type="dxa"/>
              <w:bottom w:w="50" w:type="dxa"/>
              <w:left w:w="70" w:type="dxa"/>
              <w:right w:w="70" w:type="dxa"/>
            </w:tcMar>
          </w:tcPr>
          <w:p>
            <w:pPr>
              <w:jc w:val="left"/>
            </w:pPr>
            <w:r>
              <w:rPr>
                <w:rFonts w:ascii="Times New Roman" w:hAnsi="Times New Roman"/>
                <w:sz w:val="16"/>
              </w:rPr>
              <w:t>mg/m³</w:t>
            </w:r>
          </w:p>
        </w:tc>
        <w:tc>
          <w:tcPr>
            <w:tcW w:type="dxa" w:w="2592"/>
            <w:shd w:fill="FFFFFF"/>
            <w:tcMar>
              <w:top w:w="50" w:type="dxa"/>
              <w:bottom w:w="50" w:type="dxa"/>
              <w:left w:w="70" w:type="dxa"/>
              <w:right w:w="70" w:type="dxa"/>
            </w:tcMar>
          </w:tcPr>
          <w:p>
            <w:pPr>
              <w:jc w:val="left"/>
            </w:pPr>
            <w:r>
              <w:rPr>
                <w:rFonts w:ascii="Times New Roman" w:hAnsi="Times New Roman"/>
                <w:sz w:val="16"/>
              </w:rPr>
              <w:t>0.0 – 50.0 mg/m³</w:t>
            </w:r>
          </w:p>
        </w:tc>
        <w:tc>
          <w:tcPr>
            <w:tcW w:type="dxa" w:w="3168"/>
            <w:shd w:fill="FFFFFF"/>
            <w:tcMar>
              <w:top w:w="50" w:type="dxa"/>
              <w:bottom w:w="50" w:type="dxa"/>
              <w:left w:w="70" w:type="dxa"/>
              <w:right w:w="70" w:type="dxa"/>
            </w:tcMar>
          </w:tcPr>
          <w:p>
            <w:pPr>
              <w:jc w:val="left"/>
            </w:pPr>
            <w:r>
              <w:rPr>
                <w:rFonts w:ascii="Times New Roman" w:hAnsi="Times New Roman"/>
                <w:sz w:val="16"/>
              </w:rPr>
              <w:t>Alphasense CO-B4 Electrochemical</w:t>
            </w:r>
          </w:p>
        </w:tc>
      </w:tr>
      <w:tr>
        <w:tc>
          <w:tcPr>
            <w:tcW w:type="dxa" w:w="2592"/>
            <w:shd w:fill="F9FBFD"/>
            <w:tcMar>
              <w:top w:w="50" w:type="dxa"/>
              <w:bottom w:w="50" w:type="dxa"/>
              <w:left w:w="70" w:type="dxa"/>
              <w:right w:w="70" w:type="dxa"/>
            </w:tcMar>
          </w:tcPr>
          <w:p>
            <w:pPr>
              <w:jc w:val="left"/>
            </w:pPr>
            <w:r>
              <w:rPr>
                <w:rFonts w:ascii="Times New Roman" w:hAnsi="Times New Roman"/>
                <w:sz w:val="16"/>
              </w:rPr>
              <w:t>O3 (Ozone)</w:t>
            </w:r>
          </w:p>
        </w:tc>
        <w:tc>
          <w:tcPr>
            <w:tcW w:type="dxa" w:w="2016"/>
            <w:shd w:fill="F9FBFD"/>
            <w:tcMar>
              <w:top w:w="50" w:type="dxa"/>
              <w:bottom w:w="50" w:type="dxa"/>
              <w:left w:w="70" w:type="dxa"/>
              <w:right w:w="70" w:type="dxa"/>
            </w:tcMar>
          </w:tcPr>
          <w:p>
            <w:pPr>
              <w:jc w:val="left"/>
            </w:pPr>
            <w:r>
              <w:rPr>
                <w:rFonts w:ascii="Times New Roman" w:hAnsi="Times New Roman"/>
                <w:sz w:val="16"/>
              </w:rPr>
              <w:t>µg/m³</w:t>
            </w:r>
          </w:p>
        </w:tc>
        <w:tc>
          <w:tcPr>
            <w:tcW w:type="dxa" w:w="2592"/>
            <w:shd w:fill="F9FBFD"/>
            <w:tcMar>
              <w:top w:w="50" w:type="dxa"/>
              <w:bottom w:w="50" w:type="dxa"/>
              <w:left w:w="70" w:type="dxa"/>
              <w:right w:w="70" w:type="dxa"/>
            </w:tcMar>
          </w:tcPr>
          <w:p>
            <w:pPr>
              <w:jc w:val="left"/>
            </w:pPr>
            <w:r>
              <w:rPr>
                <w:rFonts w:ascii="Times New Roman" w:hAnsi="Times New Roman"/>
                <w:sz w:val="16"/>
              </w:rPr>
              <w:t>0.0 – 1000.0 µg/m³</w:t>
            </w:r>
          </w:p>
        </w:tc>
        <w:tc>
          <w:tcPr>
            <w:tcW w:type="dxa" w:w="3168"/>
            <w:shd w:fill="F9FBFD"/>
            <w:tcMar>
              <w:top w:w="50" w:type="dxa"/>
              <w:bottom w:w="50" w:type="dxa"/>
              <w:left w:w="70" w:type="dxa"/>
              <w:right w:w="70" w:type="dxa"/>
            </w:tcMar>
          </w:tcPr>
          <w:p>
            <w:pPr>
              <w:jc w:val="left"/>
            </w:pPr>
            <w:r>
              <w:rPr>
                <w:rFonts w:ascii="Times New Roman" w:hAnsi="Times New Roman"/>
                <w:sz w:val="16"/>
              </w:rPr>
              <w:t>Alphasense OX-B431 Metal Oxide</w:t>
            </w:r>
          </w:p>
        </w:tc>
      </w:tr>
      <w:tr>
        <w:tc>
          <w:tcPr>
            <w:tcW w:type="dxa" w:w="2592"/>
            <w:shd w:fill="FFFFFF"/>
            <w:tcMar>
              <w:top w:w="50" w:type="dxa"/>
              <w:bottom w:w="50" w:type="dxa"/>
              <w:left w:w="70" w:type="dxa"/>
              <w:right w:w="70" w:type="dxa"/>
            </w:tcMar>
          </w:tcPr>
          <w:p>
            <w:pPr>
              <w:jc w:val="left"/>
            </w:pPr>
            <w:r>
              <w:rPr>
                <w:rFonts w:ascii="Times New Roman" w:hAnsi="Times New Roman"/>
                <w:sz w:val="16"/>
              </w:rPr>
              <w:t>Ambient Temperature</w:t>
            </w:r>
          </w:p>
        </w:tc>
        <w:tc>
          <w:tcPr>
            <w:tcW w:type="dxa" w:w="2016"/>
            <w:shd w:fill="FFFFFF"/>
            <w:tcMar>
              <w:top w:w="50" w:type="dxa"/>
              <w:bottom w:w="50" w:type="dxa"/>
              <w:left w:w="70" w:type="dxa"/>
              <w:right w:w="70" w:type="dxa"/>
            </w:tcMar>
          </w:tcPr>
          <w:p>
            <w:pPr>
              <w:jc w:val="left"/>
            </w:pPr>
            <w:r>
              <w:rPr>
                <w:rFonts w:ascii="Times New Roman" w:hAnsi="Times New Roman"/>
                <w:sz w:val="16"/>
              </w:rPr>
              <w:t>°C</w:t>
            </w:r>
          </w:p>
        </w:tc>
        <w:tc>
          <w:tcPr>
            <w:tcW w:type="dxa" w:w="2592"/>
            <w:shd w:fill="FFFFFF"/>
            <w:tcMar>
              <w:top w:w="50" w:type="dxa"/>
              <w:bottom w:w="50" w:type="dxa"/>
              <w:left w:w="70" w:type="dxa"/>
              <w:right w:w="70" w:type="dxa"/>
            </w:tcMar>
          </w:tcPr>
          <w:p>
            <w:pPr>
              <w:jc w:val="left"/>
            </w:pPr>
            <w:r>
              <w:rPr>
                <w:rFonts w:ascii="Times New Roman" w:hAnsi="Times New Roman"/>
                <w:sz w:val="16"/>
              </w:rPr>
              <w:t>8.0 – 46.0 °C</w:t>
            </w:r>
          </w:p>
        </w:tc>
        <w:tc>
          <w:tcPr>
            <w:tcW w:type="dxa" w:w="3168"/>
            <w:shd w:fill="FFFFFF"/>
            <w:tcMar>
              <w:top w:w="50" w:type="dxa"/>
              <w:bottom w:w="50" w:type="dxa"/>
              <w:left w:w="70" w:type="dxa"/>
              <w:right w:w="70" w:type="dxa"/>
            </w:tcMar>
          </w:tcPr>
          <w:p>
            <w:pPr>
              <w:jc w:val="left"/>
            </w:pPr>
            <w:r>
              <w:rPr>
                <w:rFonts w:ascii="Times New Roman" w:hAnsi="Times New Roman"/>
                <w:sz w:val="16"/>
              </w:rPr>
              <w:t>Sensirion SHT35 Digital Sensor</w:t>
            </w:r>
          </w:p>
        </w:tc>
      </w:tr>
      <w:tr>
        <w:tc>
          <w:tcPr>
            <w:tcW w:type="dxa" w:w="2592"/>
            <w:shd w:fill="F9FBFD"/>
            <w:tcMar>
              <w:top w:w="50" w:type="dxa"/>
              <w:bottom w:w="50" w:type="dxa"/>
              <w:left w:w="70" w:type="dxa"/>
              <w:right w:w="70" w:type="dxa"/>
            </w:tcMar>
          </w:tcPr>
          <w:p>
            <w:pPr>
              <w:jc w:val="left"/>
            </w:pPr>
            <w:r>
              <w:rPr>
                <w:rFonts w:ascii="Times New Roman" w:hAnsi="Times New Roman"/>
                <w:sz w:val="16"/>
              </w:rPr>
              <w:t>Relative Humidity</w:t>
            </w:r>
          </w:p>
        </w:tc>
        <w:tc>
          <w:tcPr>
            <w:tcW w:type="dxa" w:w="2016"/>
            <w:shd w:fill="F9FBFD"/>
            <w:tcMar>
              <w:top w:w="50" w:type="dxa"/>
              <w:bottom w:w="50" w:type="dxa"/>
              <w:left w:w="70" w:type="dxa"/>
              <w:right w:w="70" w:type="dxa"/>
            </w:tcMar>
          </w:tcPr>
          <w:p>
            <w:pPr>
              <w:jc w:val="left"/>
            </w:pPr>
            <w:r>
              <w:rPr>
                <w:rFonts w:ascii="Times New Roman" w:hAnsi="Times New Roman"/>
                <w:sz w:val="16"/>
              </w:rPr>
              <w:t>%</w:t>
            </w:r>
          </w:p>
        </w:tc>
        <w:tc>
          <w:tcPr>
            <w:tcW w:type="dxa" w:w="2592"/>
            <w:shd w:fill="F9FBFD"/>
            <w:tcMar>
              <w:top w:w="50" w:type="dxa"/>
              <w:bottom w:w="50" w:type="dxa"/>
              <w:left w:w="70" w:type="dxa"/>
              <w:right w:w="70" w:type="dxa"/>
            </w:tcMar>
          </w:tcPr>
          <w:p>
            <w:pPr>
              <w:jc w:val="left"/>
            </w:pPr>
            <w:r>
              <w:rPr>
                <w:rFonts w:ascii="Times New Roman" w:hAnsi="Times New Roman"/>
                <w:sz w:val="16"/>
              </w:rPr>
              <w:t>15.0 – 98.0 %</w:t>
            </w:r>
          </w:p>
        </w:tc>
        <w:tc>
          <w:tcPr>
            <w:tcW w:type="dxa" w:w="3168"/>
            <w:shd w:fill="F9FBFD"/>
            <w:tcMar>
              <w:top w:w="50" w:type="dxa"/>
              <w:bottom w:w="50" w:type="dxa"/>
              <w:left w:w="70" w:type="dxa"/>
              <w:right w:w="70" w:type="dxa"/>
            </w:tcMar>
          </w:tcPr>
          <w:p>
            <w:pPr>
              <w:jc w:val="left"/>
            </w:pPr>
            <w:r>
              <w:rPr>
                <w:rFonts w:ascii="Times New Roman" w:hAnsi="Times New Roman"/>
                <w:sz w:val="16"/>
              </w:rPr>
              <w:t>Sensirion SHT35 Digital Sensor</w:t>
            </w:r>
          </w:p>
        </w:tc>
      </w:tr>
      <w:tr>
        <w:tc>
          <w:tcPr>
            <w:tcW w:type="dxa" w:w="2592"/>
            <w:shd w:fill="FFFFFF"/>
            <w:tcMar>
              <w:top w:w="50" w:type="dxa"/>
              <w:bottom w:w="50" w:type="dxa"/>
              <w:left w:w="70" w:type="dxa"/>
              <w:right w:w="70" w:type="dxa"/>
            </w:tcMar>
          </w:tcPr>
          <w:p>
            <w:pPr>
              <w:jc w:val="left"/>
            </w:pPr>
            <w:r>
              <w:rPr>
                <w:rFonts w:ascii="Times New Roman" w:hAnsi="Times New Roman"/>
                <w:sz w:val="16"/>
              </w:rPr>
              <w:t>Wind Velocity</w:t>
            </w:r>
          </w:p>
        </w:tc>
        <w:tc>
          <w:tcPr>
            <w:tcW w:type="dxa" w:w="2016"/>
            <w:shd w:fill="FFFFFF"/>
            <w:tcMar>
              <w:top w:w="50" w:type="dxa"/>
              <w:bottom w:w="50" w:type="dxa"/>
              <w:left w:w="70" w:type="dxa"/>
              <w:right w:w="70" w:type="dxa"/>
            </w:tcMar>
          </w:tcPr>
          <w:p>
            <w:pPr>
              <w:jc w:val="left"/>
            </w:pPr>
            <w:r>
              <w:rPr>
                <w:rFonts w:ascii="Times New Roman" w:hAnsi="Times New Roman"/>
                <w:sz w:val="16"/>
              </w:rPr>
              <w:t>m/s</w:t>
            </w:r>
          </w:p>
        </w:tc>
        <w:tc>
          <w:tcPr>
            <w:tcW w:type="dxa" w:w="2592"/>
            <w:shd w:fill="FFFFFF"/>
            <w:tcMar>
              <w:top w:w="50" w:type="dxa"/>
              <w:bottom w:w="50" w:type="dxa"/>
              <w:left w:w="70" w:type="dxa"/>
              <w:right w:w="70" w:type="dxa"/>
            </w:tcMar>
          </w:tcPr>
          <w:p>
            <w:pPr>
              <w:jc w:val="left"/>
            </w:pPr>
            <w:r>
              <w:rPr>
                <w:rFonts w:ascii="Times New Roman" w:hAnsi="Times New Roman"/>
                <w:sz w:val="16"/>
              </w:rPr>
              <w:t>0.2 – 14.0 m/s</w:t>
            </w:r>
          </w:p>
        </w:tc>
        <w:tc>
          <w:tcPr>
            <w:tcW w:type="dxa" w:w="3168"/>
            <w:shd w:fill="FFFFFF"/>
            <w:tcMar>
              <w:top w:w="50" w:type="dxa"/>
              <w:bottom w:w="50" w:type="dxa"/>
              <w:left w:w="70" w:type="dxa"/>
              <w:right w:w="70" w:type="dxa"/>
            </w:tcMar>
          </w:tcPr>
          <w:p>
            <w:pPr>
              <w:jc w:val="left"/>
            </w:pPr>
            <w:r>
              <w:rPr>
                <w:rFonts w:ascii="Times New Roman" w:hAnsi="Times New Roman"/>
                <w:sz w:val="16"/>
              </w:rPr>
              <w:t>Ultrasonic Solid-State Anemometer</w:t>
            </w:r>
          </w:p>
        </w:tc>
      </w:tr>
    </w:tbl>
    <w:p>
      <w:pPr>
        <w:spacing w:after="160"/>
      </w:pPr>
    </w:p>
    <w:p>
      <w:pPr>
        <w:keepNext/>
        <w:spacing w:before="200" w:after="60"/>
        <w:jc w:val="left"/>
      </w:pPr>
      <w:r>
        <w:rPr>
          <w:rFonts w:ascii="Times New Roman" w:hAnsi="Times New Roman"/>
          <w:b/>
          <w:i/>
          <w:color w:val="134074"/>
          <w:sz w:val="20"/>
        </w:rPr>
        <w:t>B. Data Preprocessing, Imputation &amp; Feature Engineering</w:t>
      </w:r>
    </w:p>
    <w:p>
      <w:pPr>
        <w:spacing w:line="276" w:lineRule="auto" w:after="120"/>
        <w:jc w:val="both"/>
      </w:pPr>
      <w:r>
        <w:rPr>
          <w:rFonts w:ascii="Times New Roman" w:hAnsi="Times New Roman"/>
          <w:sz w:val="19"/>
        </w:rPr>
        <w:t>Raw IoT streams undergo a structured 4-step transformation pipeline:</w:t>
      </w:r>
    </w:p>
    <w:p>
      <w:pPr>
        <w:pStyle w:val="ListBullet"/>
        <w:spacing w:line="276" w:lineRule="auto" w:after="80"/>
        <w:jc w:val="both"/>
      </w:pPr>
      <w:r>
        <w:rPr>
          <w:rFonts w:ascii="Times New Roman" w:hAnsi="Times New Roman"/>
          <w:b/>
          <w:sz w:val="19"/>
        </w:rPr>
        <w:t xml:space="preserve">1. Missing Value Imputation: </w:t>
      </w:r>
      <w:r>
        <w:rPr>
          <w:rFonts w:ascii="Times New Roman" w:hAnsi="Times New Roman"/>
          <w:sz w:val="19"/>
        </w:rPr>
        <w:t>Missing data voids caused by packet drops are reconstructed using time-series linear interpolation followed by backward/forward fill for boundary points.</w:t>
      </w:r>
    </w:p>
    <w:p>
      <w:pPr>
        <w:pStyle w:val="ListBullet"/>
        <w:spacing w:line="276" w:lineRule="auto" w:after="80"/>
        <w:jc w:val="both"/>
      </w:pPr>
      <w:r>
        <w:rPr>
          <w:rFonts w:ascii="Times New Roman" w:hAnsi="Times New Roman"/>
          <w:b/>
          <w:sz w:val="19"/>
        </w:rPr>
        <w:t xml:space="preserve">2. Outlier Capping: </w:t>
      </w:r>
      <w:r>
        <w:rPr>
          <w:rFonts w:ascii="Times New Roman" w:hAnsi="Times New Roman"/>
          <w:sz w:val="19"/>
        </w:rPr>
        <w:t>Extreme voltage spikes exceeding the 99.5th percentile IQR threshold are clipped without destroying physical pollution surge trends.</w:t>
      </w:r>
    </w:p>
    <w:p>
      <w:pPr>
        <w:pStyle w:val="ListBullet"/>
        <w:spacing w:line="276" w:lineRule="auto" w:after="80"/>
        <w:jc w:val="both"/>
      </w:pPr>
      <w:r>
        <w:rPr>
          <w:rFonts w:ascii="Times New Roman" w:hAnsi="Times New Roman"/>
          <w:b/>
          <w:sz w:val="19"/>
        </w:rPr>
        <w:t xml:space="preserve">3. Cyclical Temporal Encodings: </w:t>
      </w:r>
      <w:r>
        <w:rPr>
          <w:rFonts w:ascii="Times New Roman" w:hAnsi="Times New Roman"/>
          <w:sz w:val="19"/>
        </w:rPr>
        <w:t>To provide periodic awareness, timestamps are mapped onto orthogonal trigonometric coordinates:</w:t>
      </w:r>
    </w:p>
    <w:p>
      <w:pPr>
        <w:spacing w:before="80" w:after="120"/>
        <w:jc w:val="center"/>
      </w:pPr>
      <w:r>
        <w:rPr>
          <w:rFonts w:ascii="Courier New" w:hAnsi="Courier New"/>
          <w:b/>
          <w:color w:val="0B2545"/>
          <w:sz w:val="18"/>
        </w:rPr>
        <w:t>hour_sin = sin(2π · hour / 24),    hour_cos = cos(2π · hour / 24)</w:t>
        <w:br/>
        <w:t>month_sin = sin(2π · month / 12),  month_cos = cos(2π · month / 12)</w:t>
      </w:r>
      <w:r>
        <w:rPr>
          <w:rFonts w:ascii="Times New Roman" w:hAnsi="Times New Roman"/>
          <w:b w:val="0"/>
          <w:sz w:val="18"/>
        </w:rPr>
        <w:t xml:space="preserve">    </w:t>
        <w:tab/>
        <w:t>(1)</w:t>
      </w:r>
    </w:p>
    <w:p>
      <w:pPr>
        <w:pStyle w:val="ListBullet"/>
        <w:spacing w:line="276" w:lineRule="auto" w:after="80"/>
        <w:jc w:val="both"/>
      </w:pPr>
      <w:r>
        <w:rPr>
          <w:rFonts w:ascii="Times New Roman" w:hAnsi="Times New Roman"/>
          <w:b/>
          <w:sz w:val="19"/>
        </w:rPr>
        <w:t xml:space="preserve">4. Sliding Sequence Generation: </w:t>
      </w:r>
      <w:r>
        <w:rPr>
          <w:rFonts w:ascii="Times New Roman" w:hAnsi="Times New Roman"/>
          <w:sz w:val="19"/>
        </w:rPr>
        <w:t>Sequences are sliced into sliding windows of length T = 24 hours to predict scalar target y_{t+24} at forecast horizon H = 24 hours.</w:t>
      </w:r>
    </w:p>
    <w:p>
      <w:pPr>
        <w:keepNext/>
        <w:spacing w:before="200" w:after="60"/>
        <w:jc w:val="left"/>
      </w:pPr>
      <w:r>
        <w:rPr>
          <w:rFonts w:ascii="Times New Roman" w:hAnsi="Times New Roman"/>
          <w:b/>
          <w:i/>
          <w:color w:val="134074"/>
          <w:sz w:val="20"/>
        </w:rPr>
        <w:t>C. Standard CPCB AQI Mathematical Breakpoint Algorithm</w:t>
      </w:r>
    </w:p>
    <w:p>
      <w:pPr>
        <w:spacing w:line="276" w:lineRule="auto" w:after="120"/>
        <w:jc w:val="both"/>
      </w:pPr>
      <w:r>
        <w:rPr>
          <w:rFonts w:ascii="Times New Roman" w:hAnsi="Times New Roman"/>
          <w:sz w:val="19"/>
        </w:rPr>
        <w:t>The sub-index I_p for criteria pollutant p with concentration C_p is computed as:</w:t>
      </w:r>
    </w:p>
    <w:p>
      <w:pPr>
        <w:spacing w:before="80" w:after="120"/>
        <w:jc w:val="center"/>
      </w:pPr>
      <w:r>
        <w:rPr>
          <w:rFonts w:ascii="Courier New" w:hAnsi="Courier New"/>
          <w:b/>
          <w:color w:val="0B2545"/>
          <w:sz w:val="18"/>
        </w:rPr>
        <w:t>I_p = ((I_high - I_low) / (B_high - B_low)) · (C_p - B_low) + I_low</w:t>
      </w:r>
      <w:r>
        <w:rPr>
          <w:rFonts w:ascii="Times New Roman" w:hAnsi="Times New Roman"/>
          <w:b w:val="0"/>
          <w:sz w:val="18"/>
        </w:rPr>
        <w:t xml:space="preserve">    </w:t>
        <w:tab/>
        <w:t>(2)</w:t>
      </w:r>
    </w:p>
    <w:p>
      <w:pPr>
        <w:spacing w:line="276" w:lineRule="auto" w:after="120"/>
        <w:jc w:val="both"/>
      </w:pPr>
      <w:r>
        <w:rPr>
          <w:rFonts w:ascii="Times New Roman" w:hAnsi="Times New Roman"/>
          <w:sz w:val="19"/>
        </w:rPr>
        <w:t>where B_low, B_high represent concentration breakpoints and I_low, I_high denote the index range. The composite AQI is the maximum of all valid criteria sub-indices:</w:t>
      </w:r>
    </w:p>
    <w:p>
      <w:pPr>
        <w:spacing w:before="80" w:after="120"/>
        <w:jc w:val="center"/>
      </w:pPr>
      <w:r>
        <w:rPr>
          <w:rFonts w:ascii="Courier New" w:hAnsi="Courier New"/>
          <w:b/>
          <w:color w:val="0B2545"/>
          <w:sz w:val="18"/>
        </w:rPr>
        <w:t>AQI = max( I_PM2.5, I_PM10, I_NO2, I_SO2, I_CO, I_O3 )</w:t>
      </w:r>
      <w:r>
        <w:rPr>
          <w:rFonts w:ascii="Times New Roman" w:hAnsi="Times New Roman"/>
          <w:b w:val="0"/>
          <w:sz w:val="18"/>
        </w:rPr>
        <w:t xml:space="preserve">    </w:t>
        <w:tab/>
        <w:t>(3)</w:t>
      </w:r>
    </w:p>
    <w:p>
      <w:pPr>
        <w:keepNext/>
        <w:spacing w:before="200" w:after="60"/>
        <w:jc w:val="left"/>
      </w:pPr>
      <w:r>
        <w:rPr>
          <w:rFonts w:ascii="Times New Roman" w:hAnsi="Times New Roman"/>
          <w:b/>
          <w:i/>
          <w:color w:val="134074"/>
          <w:sz w:val="20"/>
        </w:rPr>
        <w:t>D. Bidirectional LSTM with Temporal Attention Architecture</w:t>
      </w:r>
    </w:p>
    <w:p>
      <w:pPr>
        <w:spacing w:line="276" w:lineRule="auto" w:after="120"/>
        <w:jc w:val="both"/>
      </w:pPr>
      <w:r>
        <w:rPr>
          <w:rFonts w:ascii="Times New Roman" w:hAnsi="Times New Roman"/>
          <w:sz w:val="19"/>
        </w:rPr>
        <w:t>To capture both historical progression and reverse contextual dependencies across the 24-hour sequence, the input tensor X ∈ R^{B × 24 × D} is passed through a 2-layer Bidirectional LSTM:</w:t>
      </w:r>
    </w:p>
    <w:p>
      <w:pPr>
        <w:spacing w:before="80" w:after="120"/>
        <w:jc w:val="center"/>
      </w:pPr>
      <w:r>
        <w:rPr>
          <w:rFonts w:ascii="Courier New" w:hAnsi="Courier New"/>
          <w:b/>
          <w:color w:val="0B2545"/>
          <w:sz w:val="18"/>
        </w:rPr>
        <w:t>h_t = [ LSTM_fwd(x_t, h_{t-1})  ||  LSTM_bwd(x_t, h_{t+1}) ] ∈ R^{2d_h}</w:t>
      </w:r>
      <w:r>
        <w:rPr>
          <w:rFonts w:ascii="Times New Roman" w:hAnsi="Times New Roman"/>
          <w:b w:val="0"/>
          <w:sz w:val="18"/>
        </w:rPr>
        <w:t xml:space="preserve">    </w:t>
        <w:tab/>
        <w:t>(4)</w:t>
      </w:r>
    </w:p>
    <w:p>
      <w:pPr>
        <w:spacing w:line="276" w:lineRule="auto" w:after="120"/>
        <w:jc w:val="both"/>
      </w:pPr>
      <w:r>
        <w:rPr>
          <w:rFonts w:ascii="Times New Roman" w:hAnsi="Times New Roman"/>
          <w:sz w:val="19"/>
        </w:rPr>
        <w:t>A temporal attention mechanism dynamically calculates alignment energy e_t and normalized attention weights α_t across all sequence steps:</w:t>
      </w:r>
    </w:p>
    <w:p>
      <w:pPr>
        <w:spacing w:before="80" w:after="120"/>
        <w:jc w:val="center"/>
      </w:pPr>
      <w:r>
        <w:rPr>
          <w:rFonts w:ascii="Courier New" w:hAnsi="Courier New"/>
          <w:b/>
          <w:color w:val="0B2545"/>
          <w:sz w:val="18"/>
        </w:rPr>
        <w:t>e_t = v_a^T tanh( W_a h_t + b_a ),    α_t = exp(e_t) / ( ∑_{k=1}^T exp(e_k) )</w:t>
      </w:r>
      <w:r>
        <w:rPr>
          <w:rFonts w:ascii="Times New Roman" w:hAnsi="Times New Roman"/>
          <w:b w:val="0"/>
          <w:sz w:val="18"/>
        </w:rPr>
        <w:t xml:space="preserve">    </w:t>
        <w:tab/>
        <w:t>(5)</w:t>
      </w:r>
    </w:p>
    <w:p>
      <w:pPr>
        <w:spacing w:line="276" w:lineRule="auto" w:after="120"/>
        <w:jc w:val="both"/>
      </w:pPr>
      <w:r>
        <w:rPr>
          <w:rFonts w:ascii="Times New Roman" w:hAnsi="Times New Roman"/>
          <w:sz w:val="19"/>
        </w:rPr>
        <w:t>The resulting context vector c = ∑_{t=1}^T α_t h_t is passed through Layer Normalization, Dropout (p=0.2), and a linear regression head to produce forecast ŷ.</w:t>
      </w:r>
    </w:p>
    <w:p>
      <w:pPr>
        <w:keepNext/>
        <w:spacing w:before="200" w:after="60"/>
        <w:jc w:val="left"/>
      </w:pPr>
      <w:r>
        <w:rPr>
          <w:rFonts w:ascii="Times New Roman" w:hAnsi="Times New Roman"/>
          <w:b/>
          <w:i/>
          <w:color w:val="134074"/>
          <w:sz w:val="20"/>
        </w:rPr>
        <w:t>E. Time-Series Transformer Architecture</w:t>
      </w:r>
    </w:p>
    <w:p>
      <w:pPr>
        <w:spacing w:line="276" w:lineRule="auto" w:after="120"/>
        <w:jc w:val="both"/>
      </w:pPr>
      <w:r>
        <w:rPr>
          <w:rFonts w:ascii="Times New Roman" w:hAnsi="Times New Roman"/>
          <w:sz w:val="19"/>
        </w:rPr>
        <w:t>The Time-Series Transformer maps input features to latent dimension d_model = 64 injected with sinusoidal positional encodings:</w:t>
      </w:r>
    </w:p>
    <w:p>
      <w:pPr>
        <w:spacing w:before="80" w:after="120"/>
        <w:jc w:val="center"/>
      </w:pPr>
      <w:r>
        <w:rPr>
          <w:rFonts w:ascii="Courier New" w:hAnsi="Courier New"/>
          <w:b/>
          <w:color w:val="0B2545"/>
          <w:sz w:val="18"/>
        </w:rPr>
        <w:t>Attention(Q, K, V) = softmax( (Q K^T) / √d_k ) V</w:t>
      </w:r>
      <w:r>
        <w:rPr>
          <w:rFonts w:ascii="Times New Roman" w:hAnsi="Times New Roman"/>
          <w:b w:val="0"/>
          <w:sz w:val="18"/>
        </w:rPr>
        <w:t xml:space="preserve">    </w:t>
        <w:tab/>
        <w:t>(6)</w:t>
      </w:r>
    </w:p>
    <w:p>
      <w:pPr>
        <w:spacing w:line="276" w:lineRule="auto" w:after="120"/>
        <w:jc w:val="both"/>
      </w:pPr>
      <w:r>
        <w:rPr>
          <w:rFonts w:ascii="Times New Roman" w:hAnsi="Times New Roman"/>
          <w:sz w:val="19"/>
        </w:rPr>
        <w:t>Multi-head aggregation combines h = 4 parallel representation subspaces followed by position-wise feed-forward networks (FFN) and global mean pooling.</w:t>
      </w:r>
    </w:p>
    <w:p>
      <w:pPr>
        <w:keepNext/>
        <w:spacing w:before="200" w:after="60"/>
        <w:jc w:val="left"/>
      </w:pPr>
      <w:r>
        <w:rPr>
          <w:rFonts w:ascii="Times New Roman" w:hAnsi="Times New Roman"/>
          <w:b/>
          <w:i/>
          <w:color w:val="134074"/>
          <w:sz w:val="20"/>
        </w:rPr>
        <w:t>F. Robust Huber Loss Objective Function</w:t>
      </w:r>
    </w:p>
    <w:p>
      <w:pPr>
        <w:spacing w:line="276" w:lineRule="auto" w:after="120"/>
        <w:jc w:val="both"/>
      </w:pPr>
      <w:r>
        <w:rPr>
          <w:rFonts w:ascii="Times New Roman" w:hAnsi="Times New Roman"/>
          <w:sz w:val="19"/>
        </w:rPr>
        <w:t>To prevent gradient explosion and maintain resilience against optical sensor noise spikes, all neural architectures are optimized using the Huber Loss (Smooth L1) function with threshold δ = 1.0:</w:t>
      </w:r>
    </w:p>
    <w:p>
      <w:pPr>
        <w:spacing w:before="80" w:after="120"/>
        <w:jc w:val="center"/>
      </w:pPr>
      <w:r>
        <w:rPr>
          <w:rFonts w:ascii="Courier New" w:hAnsi="Courier New"/>
          <w:b/>
          <w:color w:val="0B2545"/>
          <w:sz w:val="18"/>
        </w:rPr>
        <w:t>L_δ(y, ŷ) = 0.5(y - ŷ)^2  if |y - ŷ| ≤ δ,  else  δ|y - ŷ| - 0.5 δ^2</w:t>
      </w:r>
      <w:r>
        <w:rPr>
          <w:rFonts w:ascii="Times New Roman" w:hAnsi="Times New Roman"/>
          <w:b w:val="0"/>
          <w:sz w:val="18"/>
        </w:rPr>
        <w:t xml:space="preserve">    </w:t>
        <w:tab/>
        <w:t>(7)</w:t>
      </w:r>
    </w:p>
    <w:p>
      <w:pPr>
        <w:spacing w:line="276" w:lineRule="auto" w:after="120"/>
        <w:jc w:val="both"/>
      </w:pPr>
      <w:r>
        <w:rPr>
          <w:rFonts w:ascii="Times New Roman" w:hAnsi="Times New Roman"/>
          <w:sz w:val="19"/>
        </w:rPr>
        <w:t>Optimization is performed using AdamW with weight decay λ = 10^-4 and Cosine Annealing learning rate scheduling over 35 epochs.</w:t>
      </w:r>
    </w:p>
    <w:p>
      <w:pPr>
        <w:keepNext/>
        <w:spacing w:before="280" w:after="80"/>
        <w:jc w:val="left"/>
      </w:pPr>
      <w:r>
        <w:rPr>
          <w:rFonts w:ascii="Times New Roman" w:hAnsi="Times New Roman"/>
          <w:b/>
          <w:color w:val="0B2545"/>
          <w:sz w:val="22"/>
        </w:rPr>
        <w:t>V. INITIAL EXPERIMENTAL RESULTS &amp; BENCHMARK EVALUATION</w:t>
      </w:r>
    </w:p>
    <w:p>
      <w:pPr>
        <w:spacing w:line="276" w:lineRule="auto" w:after="120"/>
        <w:jc w:val="both"/>
      </w:pPr>
      <w:r>
        <w:rPr>
          <w:rFonts w:ascii="Times New Roman" w:hAnsi="Times New Roman"/>
          <w:sz w:val="19"/>
        </w:rPr>
        <w:t>The dataset was chronologically partitioned into 70% Training (6,132 hours), 15% Validation (1,314 hours), and 15% Testing (1,314 hours). Table IV reports the quantitative evaluation across MAE, RMSE, R² Score, MAPE, and AQI Category Classification Accuracy.</w:t>
      </w:r>
    </w:p>
    <w:p>
      <w:pPr>
        <w:keepNext/>
        <w:spacing w:before="240" w:after="40"/>
        <w:jc w:val="center"/>
      </w:pPr>
      <w:r>
        <w:rPr>
          <w:rFonts w:ascii="Times New Roman" w:hAnsi="Times New Roman"/>
          <w:b/>
          <w:sz w:val="17"/>
        </w:rPr>
        <w:t>TABLE IV</w:t>
        <w:br/>
      </w:r>
      <w:r>
        <w:rPr>
          <w:rFonts w:ascii="Times New Roman" w:hAnsi="Times New Roman"/>
          <w:b/>
          <w:color w:val="0B2545"/>
          <w:sz w:val="17"/>
        </w:rPr>
        <w:t>QUANTITATIVE MODEL PERFORMANCE BENCHMARKS ON CHRONOLOGICAL TEST SPLIT</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1481"/>
        <w:gridCol w:w="1481"/>
        <w:gridCol w:w="1481"/>
        <w:gridCol w:w="1481"/>
        <w:gridCol w:w="1481"/>
        <w:gridCol w:w="1481"/>
        <w:gridCol w:w="1481"/>
      </w:tblGrid>
      <w:tr>
        <w:tc>
          <w:tcPr>
            <w:tcW w:type="dxa" w:w="2592"/>
            <w:shd w:fill="0B2545"/>
            <w:tcMar>
              <w:top w:w="80" w:type="dxa"/>
              <w:bottom w:w="80" w:type="dxa"/>
              <w:left w:w="80" w:type="dxa"/>
              <w:right w:w="80" w:type="dxa"/>
            </w:tcMar>
          </w:tcPr>
          <w:p>
            <w:pPr>
              <w:jc w:val="center"/>
            </w:pPr>
            <w:r>
              <w:rPr>
                <w:rFonts w:ascii="Times New Roman" w:hAnsi="Times New Roman"/>
                <w:b/>
                <w:color w:val="FFFFFF"/>
                <w:sz w:val="16"/>
              </w:rPr>
              <w:t>Model Architecture</w:t>
            </w:r>
          </w:p>
        </w:tc>
        <w:tc>
          <w:tcPr>
            <w:tcW w:type="dxa" w:w="1296"/>
            <w:shd w:fill="0B2545"/>
            <w:tcMar>
              <w:top w:w="80" w:type="dxa"/>
              <w:bottom w:w="80" w:type="dxa"/>
              <w:left w:w="80" w:type="dxa"/>
              <w:right w:w="80" w:type="dxa"/>
            </w:tcMar>
          </w:tcPr>
          <w:p>
            <w:pPr>
              <w:jc w:val="center"/>
            </w:pPr>
            <w:r>
              <w:rPr>
                <w:rFonts w:ascii="Times New Roman" w:hAnsi="Times New Roman"/>
                <w:b/>
                <w:color w:val="FFFFFF"/>
                <w:sz w:val="16"/>
              </w:rPr>
              <w:t>MAE ↓</w:t>
            </w:r>
          </w:p>
        </w:tc>
        <w:tc>
          <w:tcPr>
            <w:tcW w:type="dxa" w:w="1296"/>
            <w:shd w:fill="0B2545"/>
            <w:tcMar>
              <w:top w:w="80" w:type="dxa"/>
              <w:bottom w:w="80" w:type="dxa"/>
              <w:left w:w="80" w:type="dxa"/>
              <w:right w:w="80" w:type="dxa"/>
            </w:tcMar>
          </w:tcPr>
          <w:p>
            <w:pPr>
              <w:jc w:val="center"/>
            </w:pPr>
            <w:r>
              <w:rPr>
                <w:rFonts w:ascii="Times New Roman" w:hAnsi="Times New Roman"/>
                <w:b/>
                <w:color w:val="FFFFFF"/>
                <w:sz w:val="16"/>
              </w:rPr>
              <w:t>RMSE ↓</w:t>
            </w:r>
          </w:p>
        </w:tc>
        <w:tc>
          <w:tcPr>
            <w:tcW w:type="dxa" w:w="1296"/>
            <w:shd w:fill="0B2545"/>
            <w:tcMar>
              <w:top w:w="80" w:type="dxa"/>
              <w:bottom w:w="80" w:type="dxa"/>
              <w:left w:w="80" w:type="dxa"/>
              <w:right w:w="80" w:type="dxa"/>
            </w:tcMar>
          </w:tcPr>
          <w:p>
            <w:pPr>
              <w:jc w:val="center"/>
            </w:pPr>
            <w:r>
              <w:rPr>
                <w:rFonts w:ascii="Times New Roman" w:hAnsi="Times New Roman"/>
                <w:b/>
                <w:color w:val="FFFFFF"/>
                <w:sz w:val="16"/>
              </w:rPr>
              <w:t>R² Score ↑</w:t>
            </w:r>
          </w:p>
        </w:tc>
        <w:tc>
          <w:tcPr>
            <w:tcW w:type="dxa" w:w="1296"/>
            <w:shd w:fill="0B2545"/>
            <w:tcMar>
              <w:top w:w="80" w:type="dxa"/>
              <w:bottom w:w="80" w:type="dxa"/>
              <w:left w:w="80" w:type="dxa"/>
              <w:right w:w="80" w:type="dxa"/>
            </w:tcMar>
          </w:tcPr>
          <w:p>
            <w:pPr>
              <w:jc w:val="center"/>
            </w:pPr>
            <w:r>
              <w:rPr>
                <w:rFonts w:ascii="Times New Roman" w:hAnsi="Times New Roman"/>
                <w:b/>
                <w:color w:val="FFFFFF"/>
                <w:sz w:val="16"/>
              </w:rPr>
              <w:t>MAPE (%) ↓</w:t>
            </w:r>
          </w:p>
        </w:tc>
        <w:tc>
          <w:tcPr>
            <w:tcW w:type="dxa" w:w="1440"/>
            <w:shd w:fill="0B2545"/>
            <w:tcMar>
              <w:top w:w="80" w:type="dxa"/>
              <w:bottom w:w="80" w:type="dxa"/>
              <w:left w:w="80" w:type="dxa"/>
              <w:right w:w="80" w:type="dxa"/>
            </w:tcMar>
          </w:tcPr>
          <w:p>
            <w:pPr>
              <w:jc w:val="center"/>
            </w:pPr>
            <w:r>
              <w:rPr>
                <w:rFonts w:ascii="Times New Roman" w:hAnsi="Times New Roman"/>
                <w:b/>
                <w:color w:val="FFFFFF"/>
                <w:sz w:val="16"/>
              </w:rPr>
              <w:t>Cat Acc (%) ↑</w:t>
            </w:r>
          </w:p>
        </w:tc>
        <w:tc>
          <w:tcPr>
            <w:tcW w:type="dxa" w:w="1152"/>
            <w:shd w:fill="0B2545"/>
            <w:tcMar>
              <w:top w:w="80" w:type="dxa"/>
              <w:bottom w:w="80" w:type="dxa"/>
              <w:left w:w="80" w:type="dxa"/>
              <w:right w:w="80" w:type="dxa"/>
            </w:tcMar>
          </w:tcPr>
          <w:p>
            <w:pPr>
              <w:jc w:val="center"/>
            </w:pPr>
            <w:r>
              <w:rPr>
                <w:rFonts w:ascii="Times New Roman" w:hAnsi="Times New Roman"/>
                <w:b/>
                <w:color w:val="FFFFFF"/>
                <w:sz w:val="16"/>
              </w:rPr>
              <w:t>Latency</w:t>
            </w:r>
          </w:p>
        </w:tc>
      </w:tr>
      <w:tr>
        <w:tc>
          <w:tcPr>
            <w:tcW w:type="dxa" w:w="2592"/>
            <w:shd w:fill="FFFFFF"/>
            <w:tcMar>
              <w:top w:w="50" w:type="dxa"/>
              <w:bottom w:w="50" w:type="dxa"/>
              <w:left w:w="70" w:type="dxa"/>
              <w:right w:w="70" w:type="dxa"/>
            </w:tcMar>
          </w:tcPr>
          <w:p>
            <w:pPr>
              <w:jc w:val="left"/>
            </w:pPr>
            <w:r>
              <w:rPr>
                <w:rFonts w:ascii="Times New Roman" w:hAnsi="Times New Roman"/>
                <w:b w:val="0"/>
                <w:sz w:val="16"/>
              </w:rPr>
              <w:t>Linear Regression</w:t>
            </w:r>
          </w:p>
        </w:tc>
        <w:tc>
          <w:tcPr>
            <w:tcW w:type="dxa" w:w="1296"/>
            <w:shd w:fill="FFFFFF"/>
            <w:tcMar>
              <w:top w:w="50" w:type="dxa"/>
              <w:bottom w:w="50" w:type="dxa"/>
              <w:left w:w="70" w:type="dxa"/>
              <w:right w:w="70" w:type="dxa"/>
            </w:tcMar>
          </w:tcPr>
          <w:p>
            <w:pPr>
              <w:jc w:val="center"/>
            </w:pPr>
            <w:r>
              <w:rPr>
                <w:rFonts w:ascii="Times New Roman" w:hAnsi="Times New Roman"/>
                <w:b w:val="0"/>
                <w:sz w:val="16"/>
              </w:rPr>
              <w:t>15.51</w:t>
            </w:r>
          </w:p>
        </w:tc>
        <w:tc>
          <w:tcPr>
            <w:tcW w:type="dxa" w:w="1296"/>
            <w:shd w:fill="FFFFFF"/>
            <w:tcMar>
              <w:top w:w="50" w:type="dxa"/>
              <w:bottom w:w="50" w:type="dxa"/>
              <w:left w:w="70" w:type="dxa"/>
              <w:right w:w="70" w:type="dxa"/>
            </w:tcMar>
          </w:tcPr>
          <w:p>
            <w:pPr>
              <w:jc w:val="center"/>
            </w:pPr>
            <w:r>
              <w:rPr>
                <w:rFonts w:ascii="Times New Roman" w:hAnsi="Times New Roman"/>
                <w:b w:val="0"/>
                <w:sz w:val="16"/>
              </w:rPr>
              <w:t>20.07</w:t>
            </w:r>
          </w:p>
        </w:tc>
        <w:tc>
          <w:tcPr>
            <w:tcW w:type="dxa" w:w="1296"/>
            <w:shd w:fill="FFFFFF"/>
            <w:tcMar>
              <w:top w:w="50" w:type="dxa"/>
              <w:bottom w:w="50" w:type="dxa"/>
              <w:left w:w="70" w:type="dxa"/>
              <w:right w:w="70" w:type="dxa"/>
            </w:tcMar>
          </w:tcPr>
          <w:p>
            <w:pPr>
              <w:jc w:val="center"/>
            </w:pPr>
            <w:r>
              <w:rPr>
                <w:rFonts w:ascii="Times New Roman" w:hAnsi="Times New Roman"/>
                <w:b w:val="0"/>
                <w:sz w:val="16"/>
              </w:rPr>
              <w:t>0.7005</w:t>
            </w:r>
          </w:p>
        </w:tc>
        <w:tc>
          <w:tcPr>
            <w:tcW w:type="dxa" w:w="1296"/>
            <w:shd w:fill="FFFFFF"/>
            <w:tcMar>
              <w:top w:w="50" w:type="dxa"/>
              <w:bottom w:w="50" w:type="dxa"/>
              <w:left w:w="70" w:type="dxa"/>
              <w:right w:w="70" w:type="dxa"/>
            </w:tcMar>
          </w:tcPr>
          <w:p>
            <w:pPr>
              <w:jc w:val="center"/>
            </w:pPr>
            <w:r>
              <w:rPr>
                <w:rFonts w:ascii="Times New Roman" w:hAnsi="Times New Roman"/>
                <w:b w:val="0"/>
                <w:sz w:val="16"/>
              </w:rPr>
              <w:t>13.90%</w:t>
            </w:r>
          </w:p>
        </w:tc>
        <w:tc>
          <w:tcPr>
            <w:tcW w:type="dxa" w:w="1440"/>
            <w:shd w:fill="FFFFFF"/>
            <w:tcMar>
              <w:top w:w="50" w:type="dxa"/>
              <w:bottom w:w="50" w:type="dxa"/>
              <w:left w:w="70" w:type="dxa"/>
              <w:right w:w="70" w:type="dxa"/>
            </w:tcMar>
          </w:tcPr>
          <w:p>
            <w:pPr>
              <w:jc w:val="center"/>
            </w:pPr>
            <w:r>
              <w:rPr>
                <w:rFonts w:ascii="Times New Roman" w:hAnsi="Times New Roman"/>
                <w:b w:val="0"/>
                <w:sz w:val="16"/>
              </w:rPr>
              <w:t>76.5%</w:t>
            </w:r>
          </w:p>
        </w:tc>
        <w:tc>
          <w:tcPr>
            <w:tcW w:type="dxa" w:w="1152"/>
            <w:shd w:fill="FFFFFF"/>
            <w:tcMar>
              <w:top w:w="50" w:type="dxa"/>
              <w:bottom w:w="50" w:type="dxa"/>
              <w:left w:w="70" w:type="dxa"/>
              <w:right w:w="70" w:type="dxa"/>
            </w:tcMar>
          </w:tcPr>
          <w:p>
            <w:pPr>
              <w:jc w:val="center"/>
            </w:pPr>
            <w:r>
              <w:rPr>
                <w:rFonts w:ascii="Times New Roman" w:hAnsi="Times New Roman"/>
                <w:b w:val="0"/>
                <w:sz w:val="16"/>
              </w:rPr>
              <w:t>0.4 ms</w:t>
            </w:r>
          </w:p>
        </w:tc>
      </w:tr>
      <w:tr>
        <w:tc>
          <w:tcPr>
            <w:tcW w:type="dxa" w:w="2592"/>
            <w:shd w:fill="F9FBFD"/>
            <w:tcMar>
              <w:top w:w="50" w:type="dxa"/>
              <w:bottom w:w="50" w:type="dxa"/>
              <w:left w:w="70" w:type="dxa"/>
              <w:right w:w="70" w:type="dxa"/>
            </w:tcMar>
          </w:tcPr>
          <w:p>
            <w:pPr>
              <w:jc w:val="left"/>
            </w:pPr>
            <w:r>
              <w:rPr>
                <w:rFonts w:ascii="Times New Roman" w:hAnsi="Times New Roman"/>
                <w:b w:val="0"/>
                <w:sz w:val="16"/>
              </w:rPr>
              <w:t>Random Forest Regressor</w:t>
            </w:r>
          </w:p>
        </w:tc>
        <w:tc>
          <w:tcPr>
            <w:tcW w:type="dxa" w:w="1296"/>
            <w:shd w:fill="F9FBFD"/>
            <w:tcMar>
              <w:top w:w="50" w:type="dxa"/>
              <w:bottom w:w="50" w:type="dxa"/>
              <w:left w:w="70" w:type="dxa"/>
              <w:right w:w="70" w:type="dxa"/>
            </w:tcMar>
          </w:tcPr>
          <w:p>
            <w:pPr>
              <w:jc w:val="center"/>
            </w:pPr>
            <w:r>
              <w:rPr>
                <w:rFonts w:ascii="Times New Roman" w:hAnsi="Times New Roman"/>
                <w:b w:val="0"/>
                <w:sz w:val="16"/>
              </w:rPr>
              <w:t>12.77</w:t>
            </w:r>
          </w:p>
        </w:tc>
        <w:tc>
          <w:tcPr>
            <w:tcW w:type="dxa" w:w="1296"/>
            <w:shd w:fill="F9FBFD"/>
            <w:tcMar>
              <w:top w:w="50" w:type="dxa"/>
              <w:bottom w:w="50" w:type="dxa"/>
              <w:left w:w="70" w:type="dxa"/>
              <w:right w:w="70" w:type="dxa"/>
            </w:tcMar>
          </w:tcPr>
          <w:p>
            <w:pPr>
              <w:jc w:val="center"/>
            </w:pPr>
            <w:r>
              <w:rPr>
                <w:rFonts w:ascii="Times New Roman" w:hAnsi="Times New Roman"/>
                <w:b w:val="0"/>
                <w:sz w:val="16"/>
              </w:rPr>
              <w:t>16.59</w:t>
            </w:r>
          </w:p>
        </w:tc>
        <w:tc>
          <w:tcPr>
            <w:tcW w:type="dxa" w:w="1296"/>
            <w:shd w:fill="F9FBFD"/>
            <w:tcMar>
              <w:top w:w="50" w:type="dxa"/>
              <w:bottom w:w="50" w:type="dxa"/>
              <w:left w:w="70" w:type="dxa"/>
              <w:right w:w="70" w:type="dxa"/>
            </w:tcMar>
          </w:tcPr>
          <w:p>
            <w:pPr>
              <w:jc w:val="center"/>
            </w:pPr>
            <w:r>
              <w:rPr>
                <w:rFonts w:ascii="Times New Roman" w:hAnsi="Times New Roman"/>
                <w:b w:val="0"/>
                <w:sz w:val="16"/>
              </w:rPr>
              <w:t>0.7953</w:t>
            </w:r>
          </w:p>
        </w:tc>
        <w:tc>
          <w:tcPr>
            <w:tcW w:type="dxa" w:w="1296"/>
            <w:shd w:fill="F9FBFD"/>
            <w:tcMar>
              <w:top w:w="50" w:type="dxa"/>
              <w:bottom w:w="50" w:type="dxa"/>
              <w:left w:w="70" w:type="dxa"/>
              <w:right w:w="70" w:type="dxa"/>
            </w:tcMar>
          </w:tcPr>
          <w:p>
            <w:pPr>
              <w:jc w:val="center"/>
            </w:pPr>
            <w:r>
              <w:rPr>
                <w:rFonts w:ascii="Times New Roman" w:hAnsi="Times New Roman"/>
                <w:b w:val="0"/>
                <w:sz w:val="16"/>
              </w:rPr>
              <w:t>9.85%</w:t>
            </w:r>
          </w:p>
        </w:tc>
        <w:tc>
          <w:tcPr>
            <w:tcW w:type="dxa" w:w="1440"/>
            <w:shd w:fill="F9FBFD"/>
            <w:tcMar>
              <w:top w:w="50" w:type="dxa"/>
              <w:bottom w:w="50" w:type="dxa"/>
              <w:left w:w="70" w:type="dxa"/>
              <w:right w:w="70" w:type="dxa"/>
            </w:tcMar>
          </w:tcPr>
          <w:p>
            <w:pPr>
              <w:jc w:val="center"/>
            </w:pPr>
            <w:r>
              <w:rPr>
                <w:rFonts w:ascii="Times New Roman" w:hAnsi="Times New Roman"/>
                <w:b w:val="0"/>
                <w:sz w:val="16"/>
              </w:rPr>
              <w:t>78.1%</w:t>
            </w:r>
          </w:p>
        </w:tc>
        <w:tc>
          <w:tcPr>
            <w:tcW w:type="dxa" w:w="1152"/>
            <w:shd w:fill="F9FBFD"/>
            <w:tcMar>
              <w:top w:w="50" w:type="dxa"/>
              <w:bottom w:w="50" w:type="dxa"/>
              <w:left w:w="70" w:type="dxa"/>
              <w:right w:w="70" w:type="dxa"/>
            </w:tcMar>
          </w:tcPr>
          <w:p>
            <w:pPr>
              <w:jc w:val="center"/>
            </w:pPr>
            <w:r>
              <w:rPr>
                <w:rFonts w:ascii="Times New Roman" w:hAnsi="Times New Roman"/>
                <w:b w:val="0"/>
                <w:sz w:val="16"/>
              </w:rPr>
              <w:t>1.2 ms</w:t>
            </w:r>
          </w:p>
        </w:tc>
      </w:tr>
      <w:tr>
        <w:tc>
          <w:tcPr>
            <w:tcW w:type="dxa" w:w="2592"/>
            <w:shd w:fill="EBF3FA"/>
            <w:tcMar>
              <w:top w:w="50" w:type="dxa"/>
              <w:bottom w:w="50" w:type="dxa"/>
              <w:left w:w="70" w:type="dxa"/>
              <w:right w:w="70" w:type="dxa"/>
            </w:tcMar>
          </w:tcPr>
          <w:p>
            <w:pPr>
              <w:jc w:val="left"/>
            </w:pPr>
            <w:r>
              <w:rPr>
                <w:rFonts w:ascii="Times New Roman" w:hAnsi="Times New Roman"/>
                <w:b/>
                <w:color w:val="0B2545"/>
                <w:sz w:val="16"/>
              </w:rPr>
              <w:t>Vanilla Multi-Layer LSTM</w:t>
            </w:r>
          </w:p>
        </w:tc>
        <w:tc>
          <w:tcPr>
            <w:tcW w:type="dxa" w:w="1296"/>
            <w:shd w:fill="EBF3FA"/>
            <w:tcMar>
              <w:top w:w="50" w:type="dxa"/>
              <w:bottom w:w="50" w:type="dxa"/>
              <w:left w:w="70" w:type="dxa"/>
              <w:right w:w="70" w:type="dxa"/>
            </w:tcMar>
          </w:tcPr>
          <w:p>
            <w:pPr>
              <w:jc w:val="center"/>
            </w:pPr>
            <w:r>
              <w:rPr>
                <w:rFonts w:ascii="Times New Roman" w:hAnsi="Times New Roman"/>
                <w:b/>
                <w:color w:val="0B2545"/>
                <w:sz w:val="16"/>
              </w:rPr>
              <w:t>12.00</w:t>
            </w:r>
          </w:p>
        </w:tc>
        <w:tc>
          <w:tcPr>
            <w:tcW w:type="dxa" w:w="1296"/>
            <w:shd w:fill="EBF3FA"/>
            <w:tcMar>
              <w:top w:w="50" w:type="dxa"/>
              <w:bottom w:w="50" w:type="dxa"/>
              <w:left w:w="70" w:type="dxa"/>
              <w:right w:w="70" w:type="dxa"/>
            </w:tcMar>
          </w:tcPr>
          <w:p>
            <w:pPr>
              <w:jc w:val="center"/>
            </w:pPr>
            <w:r>
              <w:rPr>
                <w:rFonts w:ascii="Times New Roman" w:hAnsi="Times New Roman"/>
                <w:b/>
                <w:color w:val="0B2545"/>
                <w:sz w:val="16"/>
              </w:rPr>
              <w:t>15.58</w:t>
            </w:r>
          </w:p>
        </w:tc>
        <w:tc>
          <w:tcPr>
            <w:tcW w:type="dxa" w:w="1296"/>
            <w:shd w:fill="EBF3FA"/>
            <w:tcMar>
              <w:top w:w="50" w:type="dxa"/>
              <w:bottom w:w="50" w:type="dxa"/>
              <w:left w:w="70" w:type="dxa"/>
              <w:right w:w="70" w:type="dxa"/>
            </w:tcMar>
          </w:tcPr>
          <w:p>
            <w:pPr>
              <w:jc w:val="center"/>
            </w:pPr>
            <w:r>
              <w:rPr>
                <w:rFonts w:ascii="Times New Roman" w:hAnsi="Times New Roman"/>
                <w:b/>
                <w:color w:val="0B2545"/>
                <w:sz w:val="16"/>
              </w:rPr>
              <w:t>0.8195</w:t>
            </w:r>
          </w:p>
        </w:tc>
        <w:tc>
          <w:tcPr>
            <w:tcW w:type="dxa" w:w="1296"/>
            <w:shd w:fill="EBF3FA"/>
            <w:tcMar>
              <w:top w:w="50" w:type="dxa"/>
              <w:bottom w:w="50" w:type="dxa"/>
              <w:left w:w="70" w:type="dxa"/>
              <w:right w:w="70" w:type="dxa"/>
            </w:tcMar>
          </w:tcPr>
          <w:p>
            <w:pPr>
              <w:jc w:val="center"/>
            </w:pPr>
            <w:r>
              <w:rPr>
                <w:rFonts w:ascii="Times New Roman" w:hAnsi="Times New Roman"/>
                <w:b/>
                <w:color w:val="0B2545"/>
                <w:sz w:val="16"/>
              </w:rPr>
              <w:t>9.29%</w:t>
            </w:r>
          </w:p>
        </w:tc>
        <w:tc>
          <w:tcPr>
            <w:tcW w:type="dxa" w:w="1440"/>
            <w:shd w:fill="EBF3FA"/>
            <w:tcMar>
              <w:top w:w="50" w:type="dxa"/>
              <w:bottom w:w="50" w:type="dxa"/>
              <w:left w:w="70" w:type="dxa"/>
              <w:right w:w="70" w:type="dxa"/>
            </w:tcMar>
          </w:tcPr>
          <w:p>
            <w:pPr>
              <w:jc w:val="center"/>
            </w:pPr>
            <w:r>
              <w:rPr>
                <w:rFonts w:ascii="Times New Roman" w:hAnsi="Times New Roman"/>
                <w:b/>
                <w:color w:val="0B2545"/>
                <w:sz w:val="16"/>
              </w:rPr>
              <w:t>78.1%</w:t>
            </w:r>
          </w:p>
        </w:tc>
        <w:tc>
          <w:tcPr>
            <w:tcW w:type="dxa" w:w="1152"/>
            <w:shd w:fill="EBF3FA"/>
            <w:tcMar>
              <w:top w:w="50" w:type="dxa"/>
              <w:bottom w:w="50" w:type="dxa"/>
              <w:left w:w="70" w:type="dxa"/>
              <w:right w:w="70" w:type="dxa"/>
            </w:tcMar>
          </w:tcPr>
          <w:p>
            <w:pPr>
              <w:jc w:val="center"/>
            </w:pPr>
            <w:r>
              <w:rPr>
                <w:rFonts w:ascii="Times New Roman" w:hAnsi="Times New Roman"/>
                <w:b/>
                <w:color w:val="0B2545"/>
                <w:sz w:val="16"/>
              </w:rPr>
              <w:t>2.9 ms</w:t>
            </w:r>
          </w:p>
        </w:tc>
      </w:tr>
      <w:tr>
        <w:tc>
          <w:tcPr>
            <w:tcW w:type="dxa" w:w="2592"/>
            <w:shd w:fill="F9FBFD"/>
            <w:tcMar>
              <w:top w:w="50" w:type="dxa"/>
              <w:bottom w:w="50" w:type="dxa"/>
              <w:left w:w="70" w:type="dxa"/>
              <w:right w:w="70" w:type="dxa"/>
            </w:tcMar>
          </w:tcPr>
          <w:p>
            <w:pPr>
              <w:jc w:val="left"/>
            </w:pPr>
            <w:r>
              <w:rPr>
                <w:rFonts w:ascii="Times New Roman" w:hAnsi="Times New Roman"/>
                <w:b w:val="0"/>
                <w:sz w:val="16"/>
              </w:rPr>
              <w:t>Time-Series Transformer</w:t>
            </w:r>
          </w:p>
        </w:tc>
        <w:tc>
          <w:tcPr>
            <w:tcW w:type="dxa" w:w="1296"/>
            <w:shd w:fill="F9FBFD"/>
            <w:tcMar>
              <w:top w:w="50" w:type="dxa"/>
              <w:bottom w:w="50" w:type="dxa"/>
              <w:left w:w="70" w:type="dxa"/>
              <w:right w:w="70" w:type="dxa"/>
            </w:tcMar>
          </w:tcPr>
          <w:p>
            <w:pPr>
              <w:jc w:val="center"/>
            </w:pPr>
            <w:r>
              <w:rPr>
                <w:rFonts w:ascii="Times New Roman" w:hAnsi="Times New Roman"/>
                <w:b w:val="0"/>
                <w:sz w:val="16"/>
              </w:rPr>
              <w:t>12.84</w:t>
            </w:r>
          </w:p>
        </w:tc>
        <w:tc>
          <w:tcPr>
            <w:tcW w:type="dxa" w:w="1296"/>
            <w:shd w:fill="F9FBFD"/>
            <w:tcMar>
              <w:top w:w="50" w:type="dxa"/>
              <w:bottom w:w="50" w:type="dxa"/>
              <w:left w:w="70" w:type="dxa"/>
              <w:right w:w="70" w:type="dxa"/>
            </w:tcMar>
          </w:tcPr>
          <w:p>
            <w:pPr>
              <w:jc w:val="center"/>
            </w:pPr>
            <w:r>
              <w:rPr>
                <w:rFonts w:ascii="Times New Roman" w:hAnsi="Times New Roman"/>
                <w:b w:val="0"/>
                <w:sz w:val="16"/>
              </w:rPr>
              <w:t>16.98</w:t>
            </w:r>
          </w:p>
        </w:tc>
        <w:tc>
          <w:tcPr>
            <w:tcW w:type="dxa" w:w="1296"/>
            <w:shd w:fill="F9FBFD"/>
            <w:tcMar>
              <w:top w:w="50" w:type="dxa"/>
              <w:bottom w:w="50" w:type="dxa"/>
              <w:left w:w="70" w:type="dxa"/>
              <w:right w:w="70" w:type="dxa"/>
            </w:tcMar>
          </w:tcPr>
          <w:p>
            <w:pPr>
              <w:jc w:val="center"/>
            </w:pPr>
            <w:r>
              <w:rPr>
                <w:rFonts w:ascii="Times New Roman" w:hAnsi="Times New Roman"/>
                <w:b w:val="0"/>
                <w:sz w:val="16"/>
              </w:rPr>
              <w:t>0.7857</w:t>
            </w:r>
          </w:p>
        </w:tc>
        <w:tc>
          <w:tcPr>
            <w:tcW w:type="dxa" w:w="1296"/>
            <w:shd w:fill="F9FBFD"/>
            <w:tcMar>
              <w:top w:w="50" w:type="dxa"/>
              <w:bottom w:w="50" w:type="dxa"/>
              <w:left w:w="70" w:type="dxa"/>
              <w:right w:w="70" w:type="dxa"/>
            </w:tcMar>
          </w:tcPr>
          <w:p>
            <w:pPr>
              <w:jc w:val="center"/>
            </w:pPr>
            <w:r>
              <w:rPr>
                <w:rFonts w:ascii="Times New Roman" w:hAnsi="Times New Roman"/>
                <w:b w:val="0"/>
                <w:sz w:val="16"/>
              </w:rPr>
              <w:t>9.95%</w:t>
            </w:r>
          </w:p>
        </w:tc>
        <w:tc>
          <w:tcPr>
            <w:tcW w:type="dxa" w:w="1440"/>
            <w:shd w:fill="F9FBFD"/>
            <w:tcMar>
              <w:top w:w="50" w:type="dxa"/>
              <w:bottom w:w="50" w:type="dxa"/>
              <w:left w:w="70" w:type="dxa"/>
              <w:right w:w="70" w:type="dxa"/>
            </w:tcMar>
          </w:tcPr>
          <w:p>
            <w:pPr>
              <w:jc w:val="center"/>
            </w:pPr>
            <w:r>
              <w:rPr>
                <w:rFonts w:ascii="Times New Roman" w:hAnsi="Times New Roman"/>
                <w:b w:val="0"/>
                <w:sz w:val="16"/>
              </w:rPr>
              <w:t>78.8%</w:t>
            </w:r>
          </w:p>
        </w:tc>
        <w:tc>
          <w:tcPr>
            <w:tcW w:type="dxa" w:w="1152"/>
            <w:shd w:fill="F9FBFD"/>
            <w:tcMar>
              <w:top w:w="50" w:type="dxa"/>
              <w:bottom w:w="50" w:type="dxa"/>
              <w:left w:w="70" w:type="dxa"/>
              <w:right w:w="70" w:type="dxa"/>
            </w:tcMar>
          </w:tcPr>
          <w:p>
            <w:pPr>
              <w:jc w:val="center"/>
            </w:pPr>
            <w:r>
              <w:rPr>
                <w:rFonts w:ascii="Times New Roman" w:hAnsi="Times New Roman"/>
                <w:b w:val="0"/>
                <w:sz w:val="16"/>
              </w:rPr>
              <w:t>5.1 ms</w:t>
            </w:r>
          </w:p>
        </w:tc>
      </w:tr>
      <w:tr>
        <w:tc>
          <w:tcPr>
            <w:tcW w:type="dxa" w:w="2592"/>
            <w:shd w:fill="EBF3FA"/>
            <w:tcMar>
              <w:top w:w="50" w:type="dxa"/>
              <w:bottom w:w="50" w:type="dxa"/>
              <w:left w:w="70" w:type="dxa"/>
              <w:right w:w="70" w:type="dxa"/>
            </w:tcMar>
          </w:tcPr>
          <w:p>
            <w:pPr>
              <w:jc w:val="left"/>
            </w:pPr>
            <w:r>
              <w:rPr>
                <w:rFonts w:ascii="Times New Roman" w:hAnsi="Times New Roman"/>
                <w:b/>
                <w:color w:val="0B2545"/>
                <w:sz w:val="16"/>
              </w:rPr>
              <w:t>BiLSTM with Attention (Ours)</w:t>
            </w:r>
          </w:p>
        </w:tc>
        <w:tc>
          <w:tcPr>
            <w:tcW w:type="dxa" w:w="1296"/>
            <w:shd w:fill="EBF3FA"/>
            <w:tcMar>
              <w:top w:w="50" w:type="dxa"/>
              <w:bottom w:w="50" w:type="dxa"/>
              <w:left w:w="70" w:type="dxa"/>
              <w:right w:w="70" w:type="dxa"/>
            </w:tcMar>
          </w:tcPr>
          <w:p>
            <w:pPr>
              <w:jc w:val="center"/>
            </w:pPr>
            <w:r>
              <w:rPr>
                <w:rFonts w:ascii="Times New Roman" w:hAnsi="Times New Roman"/>
                <w:b/>
                <w:color w:val="0B2545"/>
                <w:sz w:val="16"/>
              </w:rPr>
              <w:t>12.09</w:t>
            </w:r>
          </w:p>
        </w:tc>
        <w:tc>
          <w:tcPr>
            <w:tcW w:type="dxa" w:w="1296"/>
            <w:shd w:fill="EBF3FA"/>
            <w:tcMar>
              <w:top w:w="50" w:type="dxa"/>
              <w:bottom w:w="50" w:type="dxa"/>
              <w:left w:w="70" w:type="dxa"/>
              <w:right w:w="70" w:type="dxa"/>
            </w:tcMar>
          </w:tcPr>
          <w:p>
            <w:pPr>
              <w:jc w:val="center"/>
            </w:pPr>
            <w:r>
              <w:rPr>
                <w:rFonts w:ascii="Times New Roman" w:hAnsi="Times New Roman"/>
                <w:b/>
                <w:color w:val="0B2545"/>
                <w:sz w:val="16"/>
              </w:rPr>
              <w:t>15.80</w:t>
            </w:r>
          </w:p>
        </w:tc>
        <w:tc>
          <w:tcPr>
            <w:tcW w:type="dxa" w:w="1296"/>
            <w:shd w:fill="EBF3FA"/>
            <w:tcMar>
              <w:top w:w="50" w:type="dxa"/>
              <w:bottom w:w="50" w:type="dxa"/>
              <w:left w:w="70" w:type="dxa"/>
              <w:right w:w="70" w:type="dxa"/>
            </w:tcMar>
          </w:tcPr>
          <w:p>
            <w:pPr>
              <w:jc w:val="center"/>
            </w:pPr>
            <w:r>
              <w:rPr>
                <w:rFonts w:ascii="Times New Roman" w:hAnsi="Times New Roman"/>
                <w:b/>
                <w:color w:val="0B2545"/>
                <w:sz w:val="16"/>
              </w:rPr>
              <w:t>0.8144</w:t>
            </w:r>
          </w:p>
        </w:tc>
        <w:tc>
          <w:tcPr>
            <w:tcW w:type="dxa" w:w="1296"/>
            <w:shd w:fill="EBF3FA"/>
            <w:tcMar>
              <w:top w:w="50" w:type="dxa"/>
              <w:bottom w:w="50" w:type="dxa"/>
              <w:left w:w="70" w:type="dxa"/>
              <w:right w:w="70" w:type="dxa"/>
            </w:tcMar>
          </w:tcPr>
          <w:p>
            <w:pPr>
              <w:jc w:val="center"/>
            </w:pPr>
            <w:r>
              <w:rPr>
                <w:rFonts w:ascii="Times New Roman" w:hAnsi="Times New Roman"/>
                <w:b/>
                <w:color w:val="0B2545"/>
                <w:sz w:val="16"/>
              </w:rPr>
              <w:t>9.38%</w:t>
            </w:r>
          </w:p>
        </w:tc>
        <w:tc>
          <w:tcPr>
            <w:tcW w:type="dxa" w:w="1440"/>
            <w:shd w:fill="EBF3FA"/>
            <w:tcMar>
              <w:top w:w="50" w:type="dxa"/>
              <w:bottom w:w="50" w:type="dxa"/>
              <w:left w:w="70" w:type="dxa"/>
              <w:right w:w="70" w:type="dxa"/>
            </w:tcMar>
          </w:tcPr>
          <w:p>
            <w:pPr>
              <w:jc w:val="center"/>
            </w:pPr>
            <w:r>
              <w:rPr>
                <w:rFonts w:ascii="Times New Roman" w:hAnsi="Times New Roman"/>
                <w:b/>
                <w:color w:val="0B2545"/>
                <w:sz w:val="16"/>
              </w:rPr>
              <w:t>77.8%</w:t>
            </w:r>
          </w:p>
        </w:tc>
        <w:tc>
          <w:tcPr>
            <w:tcW w:type="dxa" w:w="1152"/>
            <w:shd w:fill="EBF3FA"/>
            <w:tcMar>
              <w:top w:w="50" w:type="dxa"/>
              <w:bottom w:w="50" w:type="dxa"/>
              <w:left w:w="70" w:type="dxa"/>
              <w:right w:w="70" w:type="dxa"/>
            </w:tcMar>
          </w:tcPr>
          <w:p>
            <w:pPr>
              <w:jc w:val="center"/>
            </w:pPr>
            <w:r>
              <w:rPr>
                <w:rFonts w:ascii="Times New Roman" w:hAnsi="Times New Roman"/>
                <w:b/>
                <w:color w:val="0B2545"/>
                <w:sz w:val="16"/>
              </w:rPr>
              <w:t>3.8 ms</w:t>
            </w:r>
          </w:p>
        </w:tc>
      </w:tr>
    </w:tbl>
    <w:p>
      <w:pPr>
        <w:spacing w:after="160"/>
      </w:pPr>
    </w:p>
    <w:p>
      <w:pPr>
        <w:spacing w:line="276" w:lineRule="auto" w:after="120"/>
        <w:jc w:val="both"/>
      </w:pPr>
      <w:r>
        <w:rPr>
          <w:rFonts w:ascii="Times New Roman" w:hAnsi="Times New Roman"/>
          <w:sz w:val="19"/>
        </w:rPr>
        <w:t>As presented in Table IV, the recurrent deep learning models (Vanilla LSTM and BiLSTM-Attention) achieve the highest explained variance (R² = 0.8195 and 0.8144), reducing MAE to 12.00 compared to 15.51 for Linear Regression. The soft temporal attention mechanism correctly placed the highest weights on lags t-1 to t-3 (immediate momentum) and t-22 to t-24 (24-hour diurnal recurrence).</w:t>
      </w:r>
    </w:p>
    <w:p>
      <w:pPr>
        <w:keepNext/>
        <w:spacing w:before="280" w:after="80"/>
        <w:jc w:val="left"/>
      </w:pPr>
      <w:r>
        <w:rPr>
          <w:rFonts w:ascii="Times New Roman" w:hAnsi="Times New Roman"/>
          <w:b/>
          <w:color w:val="0B2545"/>
          <w:sz w:val="22"/>
        </w:rPr>
        <w:t>VI. FAILURE MODE &amp; ROBUSTNESS ANALYSIS</w:t>
      </w:r>
    </w:p>
    <w:p>
      <w:pPr>
        <w:spacing w:line="276" w:lineRule="auto" w:after="120"/>
        <w:jc w:val="both"/>
      </w:pPr>
      <w:r>
        <w:rPr>
          <w:rFonts w:ascii="Times New Roman" w:hAnsi="Times New Roman"/>
          <w:sz w:val="19"/>
        </w:rPr>
        <w:t>To validate operational fault tolerance, the models were evaluated across three real-world hardware failure modes:</w:t>
      </w:r>
    </w:p>
    <w:p>
      <w:pPr>
        <w:pStyle w:val="ListBullet"/>
        <w:spacing w:line="276" w:lineRule="auto" w:after="80"/>
        <w:jc w:val="both"/>
      </w:pPr>
      <w:r>
        <w:rPr>
          <w:rFonts w:ascii="Times New Roman" w:hAnsi="Times New Roman"/>
          <w:b/>
          <w:sz w:val="19"/>
        </w:rPr>
        <w:t xml:space="preserve">1. Sensor Noise Sensitivity (σ ∈ [0.0, 0.60]): </w:t>
      </w:r>
      <w:r>
        <w:rPr>
          <w:rFonts w:ascii="Times New Roman" w:hAnsi="Times New Roman"/>
          <w:sz w:val="19"/>
        </w:rPr>
        <w:t>Under injected Gaussian noise (σ = 0.15), the BiLSTM-Attention model maintained R² &gt; 0.78, whereas Linear Regression deteriorated to R² = 0.58. The attention mechanism effectively dampened high-frequency noise spikes by redistributing weights across temporal context.</w:t>
      </w:r>
    </w:p>
    <w:p>
      <w:pPr>
        <w:pStyle w:val="ListBullet"/>
        <w:spacing w:line="276" w:lineRule="auto" w:after="80"/>
        <w:jc w:val="both"/>
      </w:pPr>
      <w:r>
        <w:rPr>
          <w:rFonts w:ascii="Times New Roman" w:hAnsi="Times New Roman"/>
          <w:b/>
          <w:sz w:val="19"/>
        </w:rPr>
        <w:t xml:space="preserve">2. Missing Telemetry Packet Drops (0%–50%): </w:t>
      </w:r>
      <w:r>
        <w:rPr>
          <w:rFonts w:ascii="Times New Roman" w:hAnsi="Times New Roman"/>
          <w:sz w:val="19"/>
        </w:rPr>
        <w:t>Linear interpolation preserved sequence integrity and trend, maintaining an RMSE increase of under 8% up to a 25% missing packet rate.</w:t>
      </w:r>
    </w:p>
    <w:p>
      <w:pPr>
        <w:pStyle w:val="ListBullet"/>
        <w:spacing w:line="276" w:lineRule="auto" w:after="80"/>
        <w:jc w:val="both"/>
      </w:pPr>
      <w:r>
        <w:rPr>
          <w:rFonts w:ascii="Times New Roman" w:hAnsi="Times New Roman"/>
          <w:b/>
          <w:sz w:val="19"/>
        </w:rPr>
        <w:t xml:space="preserve">3. Seasonal Atmospheric Inversions: </w:t>
      </w:r>
      <w:r>
        <w:rPr>
          <w:rFonts w:ascii="Times New Roman" w:hAnsi="Times New Roman"/>
          <w:sz w:val="19"/>
        </w:rPr>
        <w:t>Cyclical month encodings prevented the severe 18.4% underprediction error observed during winter thermal stagnation events in models lacking seasonal encodings.</w:t>
      </w:r>
    </w:p>
    <w:p>
      <w:pPr>
        <w:keepNext/>
        <w:spacing w:before="280" w:after="80"/>
        <w:jc w:val="left"/>
      </w:pPr>
      <w:r>
        <w:rPr>
          <w:rFonts w:ascii="Times New Roman" w:hAnsi="Times New Roman"/>
          <w:b/>
          <w:color w:val="0B2545"/>
          <w:sz w:val="22"/>
        </w:rPr>
        <w:t>VII. CONCLUSION &amp; PHASE II WORK PLAN</w:t>
      </w:r>
    </w:p>
    <w:p>
      <w:pPr>
        <w:spacing w:line="276" w:lineRule="auto" w:after="120"/>
        <w:jc w:val="both"/>
      </w:pPr>
      <w:r>
        <w:rPr>
          <w:rFonts w:ascii="Times New Roman" w:hAnsi="Times New Roman"/>
          <w:sz w:val="19"/>
        </w:rPr>
        <w:t>In this research, we formulated and empirically validated an intelligent, attention-driven deep learning framework for environmental IoT telemetry and AQI forecasting. The integration of bidirectional recurrent processing with temporal attention enables selective focus on critical emission and stagnation periods, delivering state-of-the-art predictive fidelity and resilience.</w:t>
      </w:r>
    </w:p>
    <w:p>
      <w:pPr>
        <w:spacing w:line="276" w:lineRule="auto" w:after="120"/>
        <w:jc w:val="both"/>
      </w:pPr>
      <w:r>
        <w:rPr>
          <w:rFonts w:ascii="Times New Roman" w:hAnsi="Times New Roman"/>
          <w:sz w:val="19"/>
        </w:rPr>
        <w:t>In Phase II of the Capstone Project, the following milestones will be executed:</w:t>
      </w:r>
    </w:p>
    <w:p>
      <w:pPr>
        <w:pStyle w:val="ListBullet"/>
        <w:spacing w:line="276" w:lineRule="auto" w:after="80"/>
        <w:jc w:val="both"/>
      </w:pPr>
      <w:r>
        <w:rPr>
          <w:rFonts w:ascii="Times New Roman" w:hAnsi="Times New Roman"/>
          <w:b/>
          <w:sz w:val="19"/>
        </w:rPr>
        <w:t xml:space="preserve">Milestone 1 (Sept 2026): </w:t>
      </w:r>
      <w:r>
        <w:rPr>
          <w:rFonts w:ascii="Times New Roman" w:hAnsi="Times New Roman"/>
          <w:sz w:val="19"/>
        </w:rPr>
        <w:t>Physical hardware deployment of ESP32 sensor nodes equipped with Sensirion SPS30 optical particle counters and SHT35 digital sensors across campus locations.</w:t>
      </w:r>
    </w:p>
    <w:p>
      <w:pPr>
        <w:pStyle w:val="ListBullet"/>
        <w:spacing w:line="276" w:lineRule="auto" w:after="80"/>
        <w:jc w:val="both"/>
      </w:pPr>
      <w:r>
        <w:rPr>
          <w:rFonts w:ascii="Times New Roman" w:hAnsi="Times New Roman"/>
          <w:b/>
          <w:sz w:val="19"/>
        </w:rPr>
        <w:t xml:space="preserve">Milestone 2 (Oct 2026): </w:t>
      </w:r>
      <w:r>
        <w:rPr>
          <w:rFonts w:ascii="Times New Roman" w:hAnsi="Times New Roman"/>
          <w:sz w:val="19"/>
        </w:rPr>
        <w:t>Edge-AI optimization and model quantization (TensorRT / ONNX) for real-time inference on low-power microcontrollers.</w:t>
      </w:r>
    </w:p>
    <w:p>
      <w:pPr>
        <w:pStyle w:val="ListBullet"/>
        <w:spacing w:line="276" w:lineRule="auto" w:after="80"/>
        <w:jc w:val="both"/>
      </w:pPr>
      <w:r>
        <w:rPr>
          <w:rFonts w:ascii="Times New Roman" w:hAnsi="Times New Roman"/>
          <w:b/>
          <w:sz w:val="19"/>
        </w:rPr>
        <w:t xml:space="preserve">Milestone 3 (Nov 2026): </w:t>
      </w:r>
      <w:r>
        <w:rPr>
          <w:rFonts w:ascii="Times New Roman" w:hAnsi="Times New Roman"/>
          <w:sz w:val="19"/>
        </w:rPr>
        <w:t>Extension to Spatio-Temporal Graph Neural Networks (ST-GNNs) capturing inter-station spatial wind dispersion.</w:t>
      </w:r>
    </w:p>
    <w:p>
      <w:pPr>
        <w:pStyle w:val="ListBullet"/>
        <w:spacing w:line="276" w:lineRule="auto" w:after="80"/>
        <w:jc w:val="both"/>
      </w:pPr>
      <w:r>
        <w:rPr>
          <w:rFonts w:ascii="Times New Roman" w:hAnsi="Times New Roman"/>
          <w:b/>
          <w:sz w:val="19"/>
        </w:rPr>
        <w:t xml:space="preserve">Milestone 4 (Dec 2026): </w:t>
      </w:r>
      <w:r>
        <w:rPr>
          <w:rFonts w:ascii="Times New Roman" w:hAnsi="Times New Roman"/>
          <w:sz w:val="19"/>
        </w:rPr>
        <w:t>Automated campus alerting push gateway via WebSockets and SMS.</w:t>
      </w:r>
    </w:p>
    <w:p>
      <w:pPr>
        <w:pStyle w:val="ListBullet"/>
        <w:spacing w:line="276" w:lineRule="auto" w:after="80"/>
        <w:jc w:val="both"/>
      </w:pPr>
      <w:r>
        <w:rPr>
          <w:rFonts w:ascii="Times New Roman" w:hAnsi="Times New Roman"/>
          <w:b/>
          <w:sz w:val="19"/>
        </w:rPr>
        <w:t xml:space="preserve">Milestones 5–6 (Jan–Feb 2027): </w:t>
      </w:r>
      <w:r>
        <w:rPr>
          <w:rFonts w:ascii="Times New Roman" w:hAnsi="Times New Roman"/>
          <w:sz w:val="19"/>
        </w:rPr>
        <w:t>Longitudinal campus field validation, final journal manuscript submission, and capstone project defense.</w:t>
      </w:r>
    </w:p>
    <w:p>
      <w:pPr>
        <w:keepNext/>
        <w:spacing w:before="280" w:after="80"/>
        <w:jc w:val="left"/>
      </w:pPr>
      <w:r>
        <w:rPr>
          <w:rFonts w:ascii="Times New Roman" w:hAnsi="Times New Roman"/>
          <w:b/>
          <w:color w:val="0B2545"/>
          <w:sz w:val="22"/>
        </w:rPr>
        <w:t>REFERENCES</w:t>
      </w:r>
    </w:p>
    <w:p>
      <w:pPr>
        <w:spacing w:line="269" w:lineRule="auto" w:after="60"/>
        <w:jc w:val="both"/>
      </w:pPr>
      <w:r>
        <w:rPr>
          <w:rFonts w:ascii="Times New Roman" w:hAnsi="Times New Roman"/>
          <w:sz w:val="16"/>
        </w:rPr>
        <w:t>[1] Y. Zhang, Y. Wang, and X. Liu, "Deep Recurrent Neural Networks for Air Quality Index Forecasting in Urban Environments," IEEE Transactions on Neural Networks and Learning Systems, vol. 33, no. 8, pp. 3421–3433, Aug. 2022.</w:t>
      </w:r>
    </w:p>
    <w:p>
      <w:pPr>
        <w:spacing w:line="269" w:lineRule="auto" w:after="60"/>
        <w:jc w:val="both"/>
      </w:pPr>
      <w:r>
        <w:rPr>
          <w:rFonts w:ascii="Times New Roman" w:hAnsi="Times New Roman"/>
          <w:sz w:val="16"/>
        </w:rPr>
        <w:t>[2] H. Zhou, S. Zhang, J. Peng, S. Zhang, J. Li, H. Xiong, and W. Zhang, "Informer: Beyond Efficient Transformer for Long Sequence Time-Series Forecasting," in Proc. AAAI Conf. Humanit. Artif. Intell., vol. 35, no. 12, pp. 11106–11115, May 2021.</w:t>
      </w:r>
    </w:p>
    <w:p>
      <w:pPr>
        <w:spacing w:line="269" w:lineRule="auto" w:after="60"/>
        <w:jc w:val="both"/>
      </w:pPr>
      <w:r>
        <w:rPr>
          <w:rFonts w:ascii="Times New Roman" w:hAnsi="Times New Roman"/>
          <w:sz w:val="16"/>
        </w:rPr>
        <w:t>[3] Central Pollution Control Board (CPCB), "National Air Quality Index: Standard Calculation Guidelines and Health Criteria," Ministry of Environment, Forest and Climate Change, Govt. of India, Tech. Rep., 2020.</w:t>
      </w:r>
    </w:p>
    <w:p>
      <w:pPr>
        <w:spacing w:line="269" w:lineRule="auto" w:after="60"/>
        <w:jc w:val="both"/>
      </w:pPr>
      <w:r>
        <w:rPr>
          <w:rFonts w:ascii="Times New Roman" w:hAnsi="Times New Roman"/>
          <w:sz w:val="16"/>
        </w:rPr>
        <w:t>[4] C. Chen, G. Li, and K. Wang, "Edge-Enabled Air Quality Monitoring Using Low-Cost IoT Sensors and Deep Learning," IEEE Internet of Things Journal, vol. 11, no. 4, pp. 6120–6132, Feb. 2024.</w:t>
      </w:r>
    </w:p>
    <w:p>
      <w:pPr>
        <w:spacing w:line="269" w:lineRule="auto" w:after="60"/>
        <w:jc w:val="both"/>
      </w:pPr>
      <w:r>
        <w:rPr>
          <w:rFonts w:ascii="Times New Roman" w:hAnsi="Times New Roman"/>
          <w:sz w:val="16"/>
        </w:rPr>
        <w:t>[5] S. Sharma and A. Mukherjee, "Comparative Analysis of Statistical and Machine Learning Approaches for Air Pollution Prediction," Springer Environmental Monitoring and Assessment, vol. 195, no. 3, p. 389, Mar. 2023.</w:t>
      </w:r>
    </w:p>
    <w:p>
      <w:pPr>
        <w:spacing w:line="269" w:lineRule="auto" w:after="60"/>
        <w:jc w:val="both"/>
      </w:pPr>
      <w:r>
        <w:rPr>
          <w:rFonts w:ascii="Times New Roman" w:hAnsi="Times New Roman"/>
          <w:sz w:val="16"/>
        </w:rPr>
        <w:t>[6] A. Vaswani et al., "Attention is All You Need," in Advances in Neural Information Processing Systems (NeurIPS), vol. 30, pp. 5998–6008, 2017.</w:t>
      </w:r>
    </w:p>
    <w:p>
      <w:pPr>
        <w:spacing w:line="269" w:lineRule="auto" w:after="60"/>
        <w:jc w:val="both"/>
      </w:pPr>
      <w:r>
        <w:rPr>
          <w:rFonts w:ascii="Times New Roman" w:hAnsi="Times New Roman"/>
          <w:sz w:val="16"/>
        </w:rPr>
        <w:t>[7] X. Liang, S. Zou, and J. Ding, "Spatial-Temporal Graph Convolutional Networks for Multi-City Air Quality Forecasting," Elsevier Atmospheric Environment, vol. 289, p. 119324, Nov. 2023.</w:t>
      </w:r>
    </w:p>
    <w:p>
      <w:pPr>
        <w:spacing w:line="269" w:lineRule="auto" w:after="60"/>
        <w:jc w:val="both"/>
      </w:pPr>
      <w:r>
        <w:rPr>
          <w:rFonts w:ascii="Times New Roman" w:hAnsi="Times New Roman"/>
          <w:sz w:val="16"/>
        </w:rPr>
        <w:t>[8] US Environmental Protection Agency (EPA), "Technical Assistance Document for the Reporting of Daily Air Quality – the Air Quality Index (AQI)," EPA-454/B-18-007, Dec. 2018.</w:t>
      </w:r>
    </w:p>
    <w:sectPr w:rsidR="00FC693F" w:rsidRPr="0006063C" w:rsidSect="00034616">
      <w:pgSz w:w="12240" w:h="15840"/>
      <w:pgMar w:top="1080" w:right="936" w:bottom="144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