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400"/>
      </w:pPr>
    </w:p>
    <w:p>
      <w:pPr>
        <w:spacing w:after="40"/>
        <w:jc w:val="center"/>
      </w:pPr>
      <w:r>
        <w:rPr>
          <w:rFonts w:ascii="Arial" w:cs="Arial" w:eastAsia="Arial" w:hAnsi="Arial"/>
          <w:b/>
          <w:bCs/>
          <w:color w:val="0B97A8"/>
          <w:sz w:val="48"/>
          <w:szCs w:val="48"/>
        </w:rPr>
        <w:t xml:space="preserve">GRADEWALLAH</w:t>
      </w:r>
    </w:p>
    <w:p>
      <w:pPr>
        <w:spacing w:after="60"/>
        <w:jc w:val="center"/>
      </w:pPr>
      <w:r>
        <w:rPr>
          <w:b/>
          <w:bCs/>
          <w:color w:val="7C4DFF"/>
          <w:sz w:val="30"/>
          <w:szCs w:val="30"/>
        </w:rPr>
        <w:t xml:space="preserve">Pricing, Value &amp; Negotiation</w:t>
      </w:r>
    </w:p>
    <w:p>
      <w:pPr>
        <w:spacing w:after="360"/>
        <w:jc w:val="center"/>
      </w:pPr>
      <w:r>
        <w:rPr>
          <w:color w:val="64748B"/>
          <w:sz w:val="22"/>
          <w:szCs w:val="22"/>
        </w:rPr>
        <w:t xml:space="preserve">For the seller — how to price, present value and close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fill="E6FFFA" w:val="clear"/>
            <w:tcMar>
              <w:top w:type="dxa" w:w="120"/>
              <w:left w:type="dxa" w:w="160"/>
              <w:bottom w:type="dxa" w:w="120"/>
              <w:right w:type="dxa" w:w="160"/>
            </w:tcMar>
          </w:tcPr>
          <w:p>
            <w:pPr>
              <w:spacing w:after="60"/>
            </w:pPr>
            <w:r>
              <w:rPr>
                <w:b/>
                <w:bCs/>
                <w:color w:val="0B97A8"/>
              </w:rPr>
              <w:t xml:space="preserve">ℹ Confidential — for seller use</w:t>
            </w:r>
          </w:p>
          <w:p>
            <w:pPr>
              <w:spacing w:after="0" w:line="276"/>
            </w:pPr>
            <w:r>
              <w:rPr>
                <w:color w:val="0B97A8"/>
                <w:sz w:val="21"/>
                <w:szCs w:val="21"/>
              </w:rPr>
              <w:t xml:space="preserve">This document is a working negotiation playbook. It is private to the seller and should not be shared verbatim with a buyer. Use the Project Summary document for the buyer-facing pitch.</w:t>
            </w:r>
          </w:p>
        </w:tc>
      </w:tr>
    </w:tbl>
    <w:p>
      <w:pPr>
        <w:pStyle w:val="Heading1"/>
        <w:spacing w:after="140" w:before="260"/>
      </w:pPr>
      <w:r>
        <w:rPr>
          <w:color w:val="0F172A"/>
        </w:rPr>
        <w:t xml:space="preserve">1. What You Are Selling</w:t>
      </w:r>
    </w:p>
    <w:p>
      <w:pPr>
        <w:spacing w:after="120" w:line="276"/>
      </w:pPr>
      <w:r>
        <w:t xml:space="preserve">You are not selling "code". You are selling a ready-made, working student platform that an institute can launch immediately. This is the single most important framing in the whole negotiation — it changes what the buyer understands they are paying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fill="F5F3FF" w:val="clear"/>
            <w:tcMar>
              <w:top w:type="dxa" w:w="120"/>
              <w:left w:type="dxa" w:w="160"/>
              <w:bottom w:type="dxa" w:w="120"/>
              <w:right w:type="dxa" w:w="160"/>
            </w:tcMar>
          </w:tcPr>
          <w:p>
            <w:pPr>
              <w:spacing w:after="60"/>
            </w:pPr>
            <w:r>
              <w:rPr>
                <w:b/>
                <w:bCs/>
                <w:color w:val="7C4DFF"/>
              </w:rPr>
              <w:t xml:space="preserve">Positioning statement</w:t>
            </w:r>
          </w:p>
          <w:p>
            <w:pPr>
              <w:spacing w:after="0" w:line="276"/>
            </w:pPr>
            <w:r>
              <w:rPr>
                <w:color w:val="7C4DFF"/>
                <w:sz w:val="21"/>
                <w:szCs w:val="21"/>
              </w:rPr>
              <w:t xml:space="preserve">“This is not a code sale or a license rental. It is a one-time ownership transfer of a complete, working student platform — frontend, backend, database schema, domain, and documentation — so you own it outright and control it from day one.”</w:t>
            </w:r>
          </w:p>
        </w:tc>
      </w:tr>
    </w:tbl>
    <w:p>
      <w:pPr>
        <w:pStyle w:val="Heading1"/>
        <w:spacing w:after="140" w:before="260"/>
      </w:pPr>
      <w:r>
        <w:rPr>
          <w:color w:val="0F172A"/>
        </w:rPr>
        <w:t xml:space="preserve">2. The Value Drivers</w:t>
      </w:r>
    </w:p>
    <w:p>
      <w:pPr>
        <w:spacing w:after="120" w:line="276"/>
      </w:pPr>
      <w:r>
        <w:t xml:space="preserve">Price should track value, not effort. These are the points that justify a higher asking price, so lead with them:</w:t>
      </w:r>
    </w:p>
    <w:p>
      <w:pPr>
        <w:pStyle w:val="ListParagraph"/>
        <w:numPr>
          <w:ilvl w:val="0"/>
          <w:numId w:val="2"/>
        </w:numPr>
        <w:spacing w:after="80" w:line="276"/>
      </w:pPr>
      <w:r>
        <w:t xml:space="preserve">Product is complete and demonstrable live — no development risk for the buyer.</w:t>
      </w:r>
    </w:p>
    <w:p>
      <w:pPr>
        <w:pStyle w:val="ListParagraph"/>
        <w:numPr>
          <w:ilvl w:val="0"/>
          <w:numId w:val="2"/>
        </w:numPr>
        <w:spacing w:after="80" w:line="276"/>
      </w:pPr>
      <w:r>
        <w:t xml:space="preserve">Separate live backend: real internship/placement data aggregated from up to 9 sources, and real DSA tracking across 6 platforms — not mocked.</w:t>
      </w:r>
    </w:p>
    <w:p>
      <w:pPr>
        <w:pStyle w:val="ListParagraph"/>
        <w:numPr>
          <w:ilvl w:val="0"/>
          <w:numId w:val="2"/>
        </w:numPr>
        <w:spacing w:after="80" w:line="276"/>
      </w:pPr>
      <w:r>
        <w:t xml:space="preserve">Backed by 240+ automated tests, so the buyer can trust it is not broken.</w:t>
      </w:r>
    </w:p>
    <w:p>
      <w:pPr>
        <w:pStyle w:val="ListParagraph"/>
        <w:numPr>
          <w:ilvl w:val="0"/>
          <w:numId w:val="2"/>
        </w:numPr>
        <w:spacing w:after="80" w:line="276"/>
      </w:pPr>
      <w:r>
        <w:t xml:space="preserve">Includes a paid tuition marketplace (Razorpay + video calls) — an extra monetisation channel the buyer gets for free.</w:t>
      </w:r>
    </w:p>
    <w:p>
      <w:pPr>
        <w:pStyle w:val="ListParagraph"/>
        <w:numPr>
          <w:ilvl w:val="0"/>
          <w:numId w:val="2"/>
        </w:numPr>
        <w:spacing w:after="80" w:line="276"/>
      </w:pPr>
      <w:r>
        <w:t xml:space="preserve">Mainstream technology (React, FastAPI, PostgreSQL) — easy and cheap to maintain.</w:t>
      </w:r>
    </w:p>
    <w:p>
      <w:pPr>
        <w:pStyle w:val="ListParagraph"/>
        <w:numPr>
          <w:ilvl w:val="0"/>
          <w:numId w:val="2"/>
        </w:numPr>
        <w:spacing w:after="80" w:line="276"/>
      </w:pPr>
      <w:r>
        <w:t xml:space="preserve">Live CMS — content can be updated without a developer redeploying.</w:t>
      </w:r>
    </w:p>
    <w:p>
      <w:pPr>
        <w:pStyle w:val="ListParagraph"/>
        <w:numPr>
          <w:ilvl w:val="0"/>
          <w:numId w:val="2"/>
        </w:numPr>
        <w:spacing w:after="80" w:line="276"/>
      </w:pPr>
      <w:r>
        <w:t xml:space="preserve">Clean handover documentation removes the "unknown maintenance burden" fear.</w:t>
      </w:r>
    </w:p>
    <w:p>
      <w:pPr>
        <w:pStyle w:val="Heading1"/>
        <w:spacing w:after="140" w:before="260"/>
      </w:pPr>
      <w:r>
        <w:rPr>
          <w:color w:val="0F172A"/>
        </w:rPr>
        <w:t xml:space="preserve">3. Pricing Tiers &amp; What Justifies Each</w:t>
      </w:r>
    </w:p>
    <w:p>
      <w:pPr>
        <w:spacing w:after="120" w:line="276"/>
      </w:pPr>
      <w:r>
        <w:t xml:space="preserve">Here is a realistic price ladder. Choose your anchor based on the buyer type and how much of the value you can demonstrate.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6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Scenario</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Range (₹)</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What justifies it / typical buyer</w:t>
            </w:r>
          </w:p>
        </w:tc>
      </w:tr>
      <w:tr>
        <w:tc>
          <w:tcPr>
            <w:tcW w:type="pct" w:w="100%"/>
            <w:tcMar>
              <w:top w:type="dxa" w:w="90"/>
              <w:left w:type="dxa" w:w="120"/>
              <w:bottom w:type="dxa" w:w="90"/>
              <w:right w:type="dxa" w:w="120"/>
            </w:tcMar>
          </w:tcPr>
          <w:p>
            <w:pPr>
              <w:spacing w:after="0" w:line="264"/>
            </w:pPr>
            <w:r>
              <w:rPr>
                <w:b/>
                <w:bCs/>
                <w:color w:val="0F172A"/>
                <w:sz w:val="21"/>
                <w:szCs w:val="21"/>
              </w:rPr>
              <w:t xml:space="preserve">Floor / quick sale</w:t>
            </w:r>
          </w:p>
        </w:tc>
        <w:tc>
          <w:tcPr>
            <w:tcW w:type="pct" w:w="100%"/>
            <w:tcMar>
              <w:top w:type="dxa" w:w="90"/>
              <w:left w:type="dxa" w:w="120"/>
              <w:bottom w:type="dxa" w:w="90"/>
              <w:right w:type="dxa" w:w="120"/>
            </w:tcMar>
          </w:tcPr>
          <w:p>
            <w:pPr>
              <w:spacing w:after="0" w:line="264"/>
            </w:pPr>
            <w:r>
              <w:rPr>
                <w:b/>
                <w:bCs/>
                <w:color w:val="F59E0B"/>
                <w:sz w:val="21"/>
                <w:szCs w:val="21"/>
              </w:rPr>
              <w:t xml:space="preserve">1.5 – 2 Lakh</w:t>
            </w:r>
          </w:p>
        </w:tc>
        <w:tc>
          <w:tcPr>
            <w:tcW w:type="pct" w:w="100%"/>
            <w:tcMar>
              <w:top w:type="dxa" w:w="90"/>
              <w:left w:type="dxa" w:w="120"/>
              <w:bottom w:type="dxa" w:w="90"/>
              <w:right w:type="dxa" w:w="120"/>
            </w:tcMar>
          </w:tcPr>
          <w:p>
            <w:pPr>
              <w:spacing w:after="0" w:line="264"/>
            </w:pPr>
            <w:r>
              <w:rPr>
                <w:b w:val="false"/>
                <w:bCs w:val="false"/>
                <w:color w:val="0F172A"/>
                <w:sz w:val="21"/>
                <w:szCs w:val="21"/>
              </w:rPr>
              <w:t xml:space="preserve">Code + domain only; buyer has their own developer; you want a fast, clean exit.</w:t>
            </w:r>
          </w:p>
        </w:tc>
      </w:tr>
      <w:tr>
        <w:tc>
          <w:tcPr>
            <w:tcW w:type="pct" w:w="100%"/>
            <w:tcMar>
              <w:top w:type="dxa" w:w="90"/>
              <w:left w:type="dxa" w:w="120"/>
              <w:bottom w:type="dxa" w:w="90"/>
              <w:right w:type="dxa" w:w="120"/>
            </w:tcMar>
          </w:tcPr>
          <w:p>
            <w:pPr>
              <w:spacing w:after="0" w:line="264"/>
            </w:pPr>
            <w:r>
              <w:rPr>
                <w:b/>
                <w:bCs/>
                <w:color w:val="0F172A"/>
                <w:sz w:val="21"/>
                <w:szCs w:val="21"/>
              </w:rPr>
              <w:t xml:space="preserve">Standard / good deal</w:t>
            </w:r>
          </w:p>
        </w:tc>
        <w:tc>
          <w:tcPr>
            <w:tcW w:type="pct" w:w="100%"/>
            <w:tcMar>
              <w:top w:type="dxa" w:w="90"/>
              <w:left w:type="dxa" w:w="120"/>
              <w:bottom w:type="dxa" w:w="90"/>
              <w:right w:type="dxa" w:w="120"/>
            </w:tcMar>
          </w:tcPr>
          <w:p>
            <w:pPr>
              <w:spacing w:after="0" w:line="264"/>
            </w:pPr>
            <w:r>
              <w:rPr>
                <w:b/>
                <w:bCs/>
                <w:color w:val="3B82F6"/>
                <w:sz w:val="21"/>
                <w:szCs w:val="21"/>
              </w:rPr>
              <w:t xml:space="preserve">2 – 3.5 Lakh</w:t>
            </w:r>
          </w:p>
        </w:tc>
        <w:tc>
          <w:tcPr>
            <w:tcW w:type="pct" w:w="100%"/>
            <w:tcMar>
              <w:top w:type="dxa" w:w="90"/>
              <w:left w:type="dxa" w:w="120"/>
              <w:bottom w:type="dxa" w:w="90"/>
              <w:right w:type="dxa" w:w="120"/>
            </w:tcMar>
          </w:tcPr>
          <w:p>
            <w:pPr>
              <w:spacing w:after="0" w:line="264"/>
            </w:pPr>
            <w:r>
              <w:rPr>
                <w:b w:val="false"/>
                <w:bCs w:val="false"/>
                <w:color w:val="0F172A"/>
                <w:sz w:val="21"/>
                <w:szCs w:val="21"/>
              </w:rPr>
              <w:t xml:space="preserve">Working demo + backend + tutor portal + clean handoff docs + domain. Best for a coaching institute or EdTech founder.</w:t>
            </w:r>
          </w:p>
        </w:tc>
      </w:tr>
      <w:tr>
        <w:tc>
          <w:tcPr>
            <w:tcW w:type="pct" w:w="100%"/>
            <w:tcMar>
              <w:top w:type="dxa" w:w="90"/>
              <w:left w:type="dxa" w:w="120"/>
              <w:bottom w:type="dxa" w:w="90"/>
              <w:right w:type="dxa" w:w="120"/>
            </w:tcMar>
          </w:tcPr>
          <w:p>
            <w:pPr>
              <w:spacing w:after="0" w:line="264"/>
            </w:pPr>
            <w:r>
              <w:rPr>
                <w:b/>
                <w:bCs/>
                <w:color w:val="0F172A"/>
                <w:sz w:val="21"/>
                <w:szCs w:val="21"/>
              </w:rPr>
              <w:t xml:space="preserve">Premium / upper</w:t>
            </w:r>
          </w:p>
        </w:tc>
        <w:tc>
          <w:tcPr>
            <w:tcW w:type="pct" w:w="100%"/>
            <w:tcMar>
              <w:top w:type="dxa" w:w="90"/>
              <w:left w:type="dxa" w:w="120"/>
              <w:bottom w:type="dxa" w:w="90"/>
              <w:right w:type="dxa" w:w="120"/>
            </w:tcMar>
          </w:tcPr>
          <w:p>
            <w:pPr>
              <w:spacing w:after="0" w:line="264"/>
            </w:pPr>
            <w:r>
              <w:rPr>
                <w:b/>
                <w:bCs/>
                <w:color w:val="10B981"/>
                <w:sz w:val="21"/>
                <w:szCs w:val="21"/>
              </w:rPr>
              <w:t xml:space="preserve">3.5 – 6 Lakh</w:t>
            </w:r>
          </w:p>
        </w:tc>
        <w:tc>
          <w:tcPr>
            <w:tcW w:type="pct" w:w="100%"/>
            <w:tcMar>
              <w:top w:type="dxa" w:w="90"/>
              <w:left w:type="dxa" w:w="120"/>
              <w:bottom w:type="dxa" w:w="90"/>
              <w:right w:type="dxa" w:w="120"/>
            </w:tcMar>
          </w:tcPr>
          <w:p>
            <w:pPr>
              <w:spacing w:after="0" w:line="264"/>
            </w:pPr>
            <w:r>
              <w:rPr>
                <w:b w:val="false"/>
                <w:bCs w:val="false"/>
                <w:color w:val="0F172A"/>
                <w:sz w:val="21"/>
                <w:szCs w:val="21"/>
              </w:rPr>
              <w:t xml:space="preserve">Buyer has active student base, sees revenue potential; or you include extra setup/support handholding for the first month.</w:t>
            </w:r>
          </w:p>
        </w:tc>
      </w:tr>
    </w:tbl>
    <w:p>
      <w:pPr>
        <w:spacing w:after="12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val="clear"/>
            <w:tcMar>
              <w:top w:type="dxa" w:w="120"/>
              <w:left w:type="dxa" w:w="160"/>
              <w:bottom w:type="dxa" w:w="120"/>
              <w:right w:type="dxa" w:w="160"/>
            </w:tcMar>
          </w:tcPr>
          <w:p>
            <w:pPr>
              <w:spacing w:after="60"/>
            </w:pPr>
            <w:r>
              <w:rPr>
                <w:b/>
                <w:bCs/>
              </w:rPr>
              <w:t xml:space="preserve">Anchor high, settle at the standard band</w:t>
            </w:r>
          </w:p>
          <w:p>
            <w:pPr>
              <w:spacing w:after="0" w:line="276"/>
            </w:pPr>
            <w:r>
              <w:rPr>
                <w:sz w:val="21"/>
                <w:szCs w:val="21"/>
              </w:rPr>
              <w:t xml:space="preserve">Open with your premium anchor (e.g. 4 Lakh). Most real buyers land in the 2–3.5 Lakh standard band. The floor (1.5–2 Lakh) is only for when a buyer won’t budge and you prefer a clean quick exit.</w:t>
            </w:r>
          </w:p>
        </w:tc>
      </w:tr>
    </w:tbl>
    <w:p>
      <w:pPr>
        <w:pStyle w:val="Heading1"/>
        <w:spacing w:after="140" w:before="260"/>
      </w:pPr>
      <w:r>
        <w:rPr>
          <w:color w:val="0F172A"/>
        </w:rPr>
        <w:t xml:space="preserve">4. How to Present the Price Confidently</w:t>
      </w:r>
    </w:p>
    <w:p>
      <w:pPr>
        <w:pStyle w:val="ListParagraph"/>
        <w:numPr>
          <w:ilvl w:val="0"/>
          <w:numId w:val="2"/>
        </w:numPr>
        <w:spacing w:after="80" w:line="276"/>
      </w:pPr>
      <w:r>
        <w:t xml:space="preserve">Quote a number, not a range, when asked directly. A single firm number reads as confidence.</w:t>
      </w:r>
    </w:p>
    <w:p>
      <w:pPr>
        <w:pStyle w:val="ListParagraph"/>
        <w:numPr>
          <w:ilvl w:val="0"/>
          <w:numId w:val="2"/>
        </w:numPr>
        <w:spacing w:after="80" w:line="276"/>
      </w:pPr>
      <w:r>
        <w:t xml:space="preserve">Frame it as a fraction of what a custom build would cost. A custom platform like this typically runs 5–15 Lakh and 4–8 months. One-time at 3 Lakh is a fraction of that.</w:t>
      </w:r>
    </w:p>
    <w:p>
      <w:pPr>
        <w:pStyle w:val="ListParagraph"/>
        <w:numPr>
          <w:ilvl w:val="0"/>
          <w:numId w:val="2"/>
        </w:numPr>
        <w:spacing w:after="80" w:line="276"/>
      </w:pPr>
      <w:r>
        <w:t xml:space="preserve">Frame it against months saved. "If your developer costs ₹50–80K/month, in 3 months you spend more than this — and still have to wait for a build."</w:t>
      </w:r>
    </w:p>
    <w:p>
      <w:pPr>
        <w:pStyle w:val="ListParagraph"/>
        <w:numPr>
          <w:ilvl w:val="0"/>
          <w:numId w:val="2"/>
        </w:numPr>
        <w:spacing w:after="80" w:line="276"/>
      </w:pPr>
      <w:r>
        <w:t xml:space="preserve">Highlight what is included beyond code: domain, documentation, deployed demo, live data pipeline, monetisable tuition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val="clear"/>
            <w:tcMar>
              <w:top w:type="dxa" w:w="120"/>
              <w:left w:type="dxa" w:w="160"/>
              <w:bottom w:type="dxa" w:w="120"/>
              <w:right w:type="dxa" w:w="160"/>
            </w:tcMar>
          </w:tcPr>
          <w:p>
            <w:pPr>
              <w:spacing w:after="60"/>
            </w:pPr>
            <w:r>
              <w:rPr>
                <w:b/>
                <w:bCs/>
              </w:rPr>
              <w:t xml:space="preserve">Do NOT lead with discounts</w:t>
            </w:r>
          </w:p>
          <w:p>
            <w:pPr>
              <w:spacing w:after="0" w:line="276"/>
            </w:pPr>
            <w:r>
              <w:rPr>
                <w:sz w:val="21"/>
                <w:szCs w:val="21"/>
              </w:rPr>
              <w:t xml:space="preserve">Never volunteer a discount first. If they ask for a lower price, ask for something in return — a faster close, a larger deposit, or a referral. Discounting with no concession only signals your number was inflated.</w:t>
            </w:r>
          </w:p>
        </w:tc>
      </w:tr>
    </w:tbl>
    <w:p>
      <w:pPr>
        <w:pStyle w:val="Heading1"/>
        <w:spacing w:after="140" w:before="260"/>
      </w:pPr>
      <w:r>
        <w:rPr>
          <w:color w:val="0F172A"/>
        </w:rPr>
        <w:t xml:space="preserve">5. Pushback Handler — Likely Objections &amp; Replies</w:t>
      </w:r>
    </w:p>
    <w:p>
      <w:pPr>
        <w:pStyle w:val="Heading2"/>
        <w:spacing w:after="140" w:before="260"/>
      </w:pPr>
      <w:r>
        <w:rPr>
          <w:color w:val="0F172A"/>
        </w:rPr>
        <w:t xml:space="preserve">5.1 "It has no users / no revenue, so it’s worth less"</w:t>
      </w:r>
    </w:p>
    <w:p>
      <w:pPr>
        <w:spacing w:after="120" w:line="276"/>
      </w:pPr>
      <w:r>
        <w:rPr>
          <w:b/>
          <w:bCs/>
          <w:color w:val="0F172A"/>
        </w:rPr>
        <w:t xml:space="preserve">Reply: </w:t>
      </w:r>
    </w:p>
    <w:p>
      <w:pPr>
        <w:spacing w:after="120" w:line="276"/>
      </w:pPr>
      <w:r>
        <w:t xml:space="preserve">“Fair point, but you’re not buying my users — you’re buying a finished product you can launch to your own students tomorrow. The engineering is what saves you months and 5+ lakh of build cost. The traction is yours to create.”</w:t>
      </w:r>
    </w:p>
    <w:p>
      <w:pPr>
        <w:pStyle w:val="Heading2"/>
        <w:spacing w:after="140" w:before="260"/>
      </w:pPr>
      <w:r>
        <w:rPr>
          <w:color w:val="0F172A"/>
        </w:rPr>
        <w:t xml:space="preserve">5.2 "I can get this built cheaper"</w:t>
      </w:r>
    </w:p>
    <w:p>
      <w:pPr>
        <w:spacing w:after="120" w:line="276"/>
      </w:pPr>
      <w:r>
        <w:rPr>
          <w:b/>
          <w:bCs/>
          <w:color w:val="0F172A"/>
        </w:rPr>
        <w:t xml:space="preserve">Reply: </w:t>
      </w:r>
    </w:p>
    <w:p>
      <w:pPr>
        <w:spacing w:after="120" w:line="276"/>
      </w:pPr>
      <w:r>
        <w:t xml:space="preserve">“You could — but you’d pay for development for months without a product, and the final result isn’t guaranteed. Here you pay once and get a working, tested, documented platform that is live today. The juice is in the time saved, not the code itself.”</w:t>
      </w:r>
    </w:p>
    <w:p>
      <w:pPr>
        <w:pStyle w:val="Heading2"/>
        <w:spacing w:after="140" w:before="260"/>
      </w:pPr>
      <w:r>
        <w:rPr>
          <w:color w:val="0F172A"/>
        </w:rPr>
        <w:t xml:space="preserve">5.3 "Give me a better price"</w:t>
      </w:r>
    </w:p>
    <w:p>
      <w:pPr>
        <w:spacing w:after="120" w:line="276"/>
      </w:pPr>
      <w:r>
        <w:rPr>
          <w:b/>
          <w:bCs/>
          <w:color w:val="0F172A"/>
        </w:rPr>
        <w:t xml:space="preserve">Move to value, not to discount: </w:t>
      </w:r>
    </w:p>
    <w:p>
      <w:pPr>
        <w:spacing w:after="120" w:line="276"/>
      </w:pPr>
      <w:r>
        <w:t xml:space="preserve">“I can’t come down on the core, but I can add value to make the deal better — a full deployment handover, a recorded walkthrough, or 30 days of setup support. Which of those is most useful to you?”</w:t>
      </w:r>
    </w:p>
    <w:p>
      <w:pPr>
        <w:pStyle w:val="Heading2"/>
        <w:spacing w:after="140" w:before="260"/>
      </w:pPr>
      <w:r>
        <w:rPr>
          <w:color w:val="0F172A"/>
        </w:rPr>
        <w:t xml:space="preserve">5.4 "I need maintenance and will be stuck without you"</w:t>
      </w:r>
    </w:p>
    <w:p>
      <w:pPr>
        <w:spacing w:after="120" w:line="276"/>
      </w:pPr>
      <w:r>
        <w:rPr>
          <w:b/>
          <w:bCs/>
          <w:color w:val="0F172A"/>
        </w:rPr>
        <w:t xml:space="preserve">Reassure with the handoff, not ongoing dependence: </w:t>
      </w:r>
    </w:p>
    <w:p>
      <w:pPr>
        <w:spacing w:after="120" w:line="276"/>
      </w:pPr>
      <w:r>
        <w:t xml:space="preserve">“Every integration is documented and the platform runs on standard tools, so your own developer can take over. I’m including a complete Technical Handoff Guide and I’ll walk your developer through it. That removes the dependency — that’s part of why it is a one-time deal, not a subscription.”</w:t>
      </w:r>
    </w:p>
    <w:p>
      <w:pPr>
        <w:pStyle w:val="Heading2"/>
        <w:spacing w:after="140" w:before="260"/>
      </w:pPr>
      <w:r>
        <w:rPr>
          <w:color w:val="0F172A"/>
        </w:rPr>
        <w:t xml:space="preserve">5.5 "I’m not sure it is real / show me"</w:t>
      </w:r>
    </w:p>
    <w:p>
      <w:pPr>
        <w:spacing w:after="120" w:line="276"/>
      </w:pPr>
      <w:r>
        <w:rPr>
          <w:b/>
          <w:bCs/>
          <w:color w:val="0F172A"/>
        </w:rPr>
        <w:t xml:space="preserve">Reply: </w:t>
      </w:r>
    </w:p>
    <w:p>
      <w:pPr>
        <w:spacing w:after="120" w:line="276"/>
      </w:pPr>
      <w:r>
        <w:t xml:space="preserve">“Let me show you a live demo right now — every feature works end to end, including live internship data and real coding-profile tracking. If anything doesn’t work when you demo it, you walk away. That is how confident I am in the build.”</w:t>
      </w:r>
    </w:p>
    <w:p>
      <w:pPr>
        <w:pStyle w:val="Heading1"/>
        <w:spacing w:after="140" w:before="260"/>
      </w:pPr>
      <w:r>
        <w:rPr>
          <w:color w:val="0F172A"/>
        </w:rPr>
        <w:t xml:space="preserve">6. Structuring the Deal Cleanly</w:t>
      </w:r>
    </w:p>
    <w:p>
      <w:pPr>
        <w:pStyle w:val="Heading2"/>
        <w:spacing w:after="140" w:before="260"/>
      </w:pPr>
      <w:r>
        <w:rPr>
          <w:color w:val="0F172A"/>
        </w:rPr>
        <w:t xml:space="preserve">6.1 Recommended payment terms</w:t>
      </w:r>
    </w:p>
    <w:p>
      <w:pPr>
        <w:pStyle w:val="ListParagraph"/>
        <w:numPr>
          <w:ilvl w:val="0"/>
          <w:numId w:val="2"/>
        </w:numPr>
        <w:spacing w:after="80" w:line="276"/>
      </w:pPr>
      <w:r>
        <w:t xml:space="preserve">50% advance to hold the project and start transfer of access.</w:t>
      </w:r>
    </w:p>
    <w:p>
      <w:pPr>
        <w:pStyle w:val="ListParagraph"/>
        <w:numPr>
          <w:ilvl w:val="0"/>
          <w:numId w:val="2"/>
        </w:numPr>
        <w:spacing w:after="80" w:line="276"/>
      </w:pPr>
      <w:r>
        <w:t xml:space="preserve">50% on completion of the live handover (domain + code + dashboards + walkthrough).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val="clear"/>
            <w:tcMar>
              <w:top w:type="dxa" w:w="120"/>
              <w:left w:type="dxa" w:w="160"/>
              <w:bottom w:type="dxa" w:w="120"/>
              <w:right w:type="dxa" w:w="160"/>
            </w:tcMar>
          </w:tcPr>
          <w:p>
            <w:pPr>
              <w:spacing w:after="60"/>
            </w:pPr>
            <w:r>
              <w:rPr>
                <w:b/>
                <w:bCs/>
              </w:rPr>
              <w:t xml:space="preserve">Hold delivery as leverage</w:t>
            </w:r>
          </w:p>
          <w:p>
            <w:pPr>
              <w:spacing w:after="0" w:line="276"/>
            </w:pPr>
            <w:r>
              <w:rPr>
                <w:sz w:val="21"/>
                <w:szCs w:val="21"/>
              </w:rPr>
              <w:t xml:space="preserve">Do not hand over domain control, the production environment, or the fully configured code until you have received final payment. Stage it: share the demo freely, share full code only after agreement, hand over production only after the final payment is received.</w:t>
            </w:r>
          </w:p>
        </w:tc>
      </w:tr>
    </w:tbl>
    <w:p>
      <w:pPr>
        <w:pStyle w:val="Heading2"/>
        <w:spacing w:after="140" w:before="260"/>
      </w:pPr>
      <w:r>
        <w:rPr>
          <w:color w:val="0F172A"/>
        </w:rPr>
        <w:t xml:space="preserve">6.2 What to include in a simple sale agreement</w:t>
      </w:r>
    </w:p>
    <w:p>
      <w:pPr>
        <w:pStyle w:val="ListParagraph"/>
        <w:numPr>
          <w:ilvl w:val="0"/>
          <w:numId w:val="2"/>
        </w:numPr>
        <w:spacing w:after="80" w:line="276"/>
      </w:pPr>
      <w:r>
        <w:t xml:space="preserve">What is being transferred (code, domain, dashboards, docs).</w:t>
      </w:r>
    </w:p>
    <w:p>
      <w:pPr>
        <w:pStyle w:val="ListParagraph"/>
        <w:numPr>
          <w:ilvl w:val="0"/>
          <w:numId w:val="2"/>
        </w:numPr>
        <w:spacing w:after="80" w:line="276"/>
      </w:pPr>
      <w:r>
        <w:t xml:space="preserve">Scope of post-sale support (time-boxed — e.g. 30 days of setup help, then buyer-owned).</w:t>
      </w:r>
    </w:p>
    <w:p>
      <w:pPr>
        <w:pStyle w:val="ListParagraph"/>
        <w:numPr>
          <w:ilvl w:val="0"/>
          <w:numId w:val="2"/>
        </w:numPr>
        <w:spacing w:after="80" w:line="276"/>
      </w:pPr>
      <w:r>
        <w:t xml:space="preserve">Payment schedule and handover milestones.</w:t>
      </w:r>
    </w:p>
    <w:p>
      <w:pPr>
        <w:pStyle w:val="ListParagraph"/>
        <w:numPr>
          <w:ilvl w:val="0"/>
          <w:numId w:val="2"/>
        </w:numPr>
        <w:spacing w:after="80" w:line="276"/>
      </w:pPr>
      <w:r>
        <w:t xml:space="preserve">Full ownership transfer (no ongoing license or royalties).</w:t>
      </w:r>
    </w:p>
    <w:p>
      <w:pPr>
        <w:pStyle w:val="ListParagraph"/>
        <w:numPr>
          <w:ilvl w:val="0"/>
          <w:numId w:val="2"/>
        </w:numPr>
        <w:spacing w:after="80" w:line="276"/>
      </w:pPr>
      <w:r>
        <w:t xml:space="preserve">Clear statement that ongoing maintenance is the buyer’s responsibility after handover.</w:t>
      </w:r>
    </w:p>
    <w:p>
      <w:pPr>
        <w:pStyle w:val="Heading1"/>
        <w:spacing w:after="140" w:before="260"/>
      </w:pPr>
      <w:r>
        <w:rPr>
          <w:color w:val="0F172A"/>
        </w:rPr>
        <w:t xml:space="preserve">7. Where to Hold the Line</w:t>
      </w:r>
    </w:p>
    <w:p>
      <w:pPr>
        <w:pStyle w:val="ListParagraph"/>
        <w:numPr>
          <w:ilvl w:val="0"/>
          <w:numId w:val="2"/>
        </w:numPr>
        <w:spacing w:after="80" w:line="276"/>
      </w:pPr>
      <w:r>
        <w:t xml:space="preserve">Do not give production/domain before final payment.</w:t>
      </w:r>
    </w:p>
    <w:p>
      <w:pPr>
        <w:pStyle w:val="ListParagraph"/>
        <w:numPr>
          <w:ilvl w:val="0"/>
          <w:numId w:val="2"/>
        </w:numPr>
        <w:spacing w:after="80" w:line="276"/>
      </w:pPr>
      <w:r>
        <w:t xml:space="preserve">Do not commit to unlimited lifetime support. Offer a time-boxed window, then paid support if they want more.</w:t>
      </w:r>
    </w:p>
    <w:p>
      <w:pPr>
        <w:pStyle w:val="ListParagraph"/>
        <w:numPr>
          <w:ilvl w:val="0"/>
          <w:numId w:val="2"/>
        </w:numPr>
        <w:spacing w:after="80" w:line="276"/>
      </w:pPr>
      <w:r>
        <w:t xml:space="preserve">Do not accept "revenue share" or "equity" as the primary payment unless you are choosing to speculate deliberately.</w:t>
      </w:r>
    </w:p>
    <w:p>
      <w:pPr>
        <w:pStyle w:val="ListParagraph"/>
        <w:numPr>
          <w:ilvl w:val="0"/>
          <w:numId w:val="2"/>
        </w:numPr>
        <w:spacing w:after="80" w:line="276"/>
      </w:pPr>
      <w:r>
        <w:t xml:space="preserve">Do not include proprietary personal data or secrets (keys, passwords) in a public repo — transfer them privately during handover.</w:t>
      </w:r>
    </w:p>
    <w:p>
      <w:pPr>
        <w:pStyle w:val="Heading1"/>
        <w:spacing w:after="140" w:before="260"/>
      </w:pPr>
      <w:r>
        <w:rPr>
          <w:color w:val="0F172A"/>
        </w:rPr>
        <w:t xml:space="preserve">8. Target Buyer Matrix &amp; How to Approach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800"/>
      </w:tblGrid>
      <w:tr>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Buyer type</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Ask anchor</w:t>
            </w:r>
          </w:p>
        </w:tc>
        <w:tc>
          <w:tcPr>
            <w:tcW w:type="pct" w:w="100%"/>
            <w:shd w:fill="0F172A" w:val="clear"/>
            <w:tcMar>
              <w:top w:type="dxa" w:w="90"/>
              <w:left w:type="dxa" w:w="120"/>
              <w:bottom w:type="dxa" w:w="90"/>
              <w:right w:type="dxa" w:w="120"/>
            </w:tcMar>
          </w:tcPr>
          <w:p>
            <w:pPr>
              <w:spacing w:after="0" w:line="264"/>
            </w:pPr>
            <w:r>
              <w:rPr>
                <w:b/>
                <w:bCs/>
                <w:color w:val="FFFFFF"/>
                <w:sz w:val="21"/>
                <w:szCs w:val="21"/>
              </w:rPr>
              <w:t xml:space="preserve">Sell angle</w:t>
            </w:r>
          </w:p>
        </w:tc>
      </w:tr>
      <w:tr>
        <w:tc>
          <w:tcPr>
            <w:tcW w:type="pct" w:w="100%"/>
            <w:tcMar>
              <w:top w:type="dxa" w:w="90"/>
              <w:left w:type="dxa" w:w="120"/>
              <w:bottom w:type="dxa" w:w="90"/>
              <w:right w:type="dxa" w:w="120"/>
            </w:tcMar>
          </w:tcPr>
          <w:p>
            <w:pPr>
              <w:spacing w:after="0" w:line="264"/>
            </w:pPr>
            <w:r>
              <w:rPr>
                <w:b/>
                <w:bCs/>
                <w:color w:val="0F172A"/>
                <w:sz w:val="21"/>
                <w:szCs w:val="21"/>
              </w:rPr>
              <w:t xml:space="preserve">Coaching institute</w:t>
            </w:r>
          </w:p>
        </w:tc>
        <w:tc>
          <w:tcPr>
            <w:tcW w:type="pct" w:w="100%"/>
            <w:tcMar>
              <w:top w:type="dxa" w:w="90"/>
              <w:left w:type="dxa" w:w="120"/>
              <w:bottom w:type="dxa" w:w="90"/>
              <w:right w:type="dxa" w:w="120"/>
            </w:tcMar>
          </w:tcPr>
          <w:p>
            <w:pPr>
              <w:spacing w:after="0" w:line="264"/>
            </w:pPr>
            <w:r>
              <w:rPr>
                <w:b/>
                <w:bCs/>
                <w:color w:val="3B82F6"/>
                <w:sz w:val="21"/>
                <w:szCs w:val="21"/>
              </w:rPr>
              <w:t xml:space="preserve">3 – 4 Lakh</w:t>
            </w:r>
          </w:p>
        </w:tc>
        <w:tc>
          <w:tcPr>
            <w:tcW w:type="pct" w:w="100%"/>
            <w:tcMar>
              <w:top w:type="dxa" w:w="90"/>
              <w:left w:type="dxa" w:w="120"/>
              <w:bottom w:type="dxa" w:w="90"/>
              <w:right w:type="dxa" w:w="120"/>
            </w:tcMar>
          </w:tcPr>
          <w:p>
            <w:pPr>
              <w:spacing w:after="0" w:line="264"/>
            </w:pPr>
            <w:r>
              <w:rPr>
                <w:b w:val="false"/>
                <w:bCs w:val="false"/>
                <w:color w:val="0F172A"/>
                <w:sz w:val="21"/>
                <w:szCs w:val="21"/>
              </w:rPr>
              <w:t xml:space="preserve">Immediate product for existing students + tuition marketplace to earn.</w:t>
            </w:r>
          </w:p>
        </w:tc>
      </w:tr>
      <w:tr>
        <w:tc>
          <w:tcPr>
            <w:tcW w:type="pct" w:w="100%"/>
            <w:tcMar>
              <w:top w:type="dxa" w:w="90"/>
              <w:left w:type="dxa" w:w="120"/>
              <w:bottom w:type="dxa" w:w="90"/>
              <w:right w:type="dxa" w:w="120"/>
            </w:tcMar>
          </w:tcPr>
          <w:p>
            <w:pPr>
              <w:spacing w:after="0" w:line="264"/>
            </w:pPr>
            <w:r>
              <w:rPr>
                <w:b/>
                <w:bCs/>
                <w:color w:val="0F172A"/>
                <w:sz w:val="21"/>
                <w:szCs w:val="21"/>
              </w:rPr>
              <w:t xml:space="preserve">Engineering college</w:t>
            </w:r>
          </w:p>
        </w:tc>
        <w:tc>
          <w:tcPr>
            <w:tcW w:type="pct" w:w="100%"/>
            <w:tcMar>
              <w:top w:type="dxa" w:w="90"/>
              <w:left w:type="dxa" w:w="120"/>
              <w:bottom w:type="dxa" w:w="90"/>
              <w:right w:type="dxa" w:w="120"/>
            </w:tcMar>
          </w:tcPr>
          <w:p>
            <w:pPr>
              <w:spacing w:after="0" w:line="264"/>
            </w:pPr>
            <w:r>
              <w:rPr>
                <w:b/>
                <w:bCs/>
                <w:color w:val="10B981"/>
                <w:sz w:val="21"/>
                <w:szCs w:val="21"/>
              </w:rPr>
              <w:t xml:space="preserve">3 – 5 Lakh</w:t>
            </w:r>
          </w:p>
        </w:tc>
        <w:tc>
          <w:tcPr>
            <w:tcW w:type="pct" w:w="100%"/>
            <w:tcMar>
              <w:top w:type="dxa" w:w="90"/>
              <w:left w:type="dxa" w:w="120"/>
              <w:bottom w:type="dxa" w:w="90"/>
              <w:right w:type="dxa" w:w="120"/>
            </w:tcMar>
          </w:tcPr>
          <w:p>
            <w:pPr>
              <w:spacing w:after="0" w:line="264"/>
            </w:pPr>
            <w:r>
              <w:rPr>
                <w:b w:val="false"/>
                <w:bCs w:val="false"/>
                <w:color w:val="0F172A"/>
                <w:sz w:val="21"/>
                <w:szCs w:val="21"/>
              </w:rPr>
              <w:t xml:space="preserve">Official student + placement-readiness portal; internal tool.</w:t>
            </w:r>
          </w:p>
        </w:tc>
      </w:tr>
      <w:tr>
        <w:tc>
          <w:tcPr>
            <w:tcW w:type="pct" w:w="100%"/>
            <w:tcMar>
              <w:top w:type="dxa" w:w="90"/>
              <w:left w:type="dxa" w:w="120"/>
              <w:bottom w:type="dxa" w:w="90"/>
              <w:right w:type="dxa" w:w="120"/>
            </w:tcMar>
          </w:tcPr>
          <w:p>
            <w:pPr>
              <w:spacing w:after="0" w:line="264"/>
            </w:pPr>
            <w:r>
              <w:rPr>
                <w:b/>
                <w:bCs/>
                <w:color w:val="0F172A"/>
                <w:sz w:val="21"/>
                <w:szCs w:val="21"/>
              </w:rPr>
              <w:t xml:space="preserve">EdTech founder</w:t>
            </w:r>
          </w:p>
        </w:tc>
        <w:tc>
          <w:tcPr>
            <w:tcW w:type="pct" w:w="100%"/>
            <w:tcMar>
              <w:top w:type="dxa" w:w="90"/>
              <w:left w:type="dxa" w:w="120"/>
              <w:bottom w:type="dxa" w:w="90"/>
              <w:right w:type="dxa" w:w="120"/>
            </w:tcMar>
          </w:tcPr>
          <w:p>
            <w:pPr>
              <w:spacing w:after="0" w:line="264"/>
            </w:pPr>
            <w:r>
              <w:rPr>
                <w:b/>
                <w:bCs/>
                <w:color w:val="3B82F6"/>
                <w:sz w:val="21"/>
                <w:szCs w:val="21"/>
              </w:rPr>
              <w:t xml:space="preserve">2.5 – 4 Lakh</w:t>
            </w:r>
          </w:p>
        </w:tc>
        <w:tc>
          <w:tcPr>
            <w:tcW w:type="pct" w:w="100%"/>
            <w:tcMar>
              <w:top w:type="dxa" w:w="90"/>
              <w:left w:type="dxa" w:w="120"/>
              <w:bottom w:type="dxa" w:w="90"/>
              <w:right w:type="dxa" w:w="120"/>
            </w:tcMar>
          </w:tcPr>
          <w:p>
            <w:pPr>
              <w:spacing w:after="0" w:line="264"/>
            </w:pPr>
            <w:r>
              <w:rPr>
                <w:b w:val="false"/>
                <w:bCs w:val="false"/>
                <w:color w:val="0F172A"/>
                <w:sz w:val="21"/>
                <w:szCs w:val="21"/>
              </w:rPr>
              <w:t xml:space="preserve">Proven MVP to launch now; monetise via subscriptions/tuition.</w:t>
            </w:r>
          </w:p>
        </w:tc>
      </w:tr>
      <w:tr>
        <w:tc>
          <w:tcPr>
            <w:tcW w:type="pct" w:w="100%"/>
            <w:tcMar>
              <w:top w:type="dxa" w:w="90"/>
              <w:left w:type="dxa" w:w="120"/>
              <w:bottom w:type="dxa" w:w="90"/>
              <w:right w:type="dxa" w:w="120"/>
            </w:tcMar>
          </w:tcPr>
          <w:p>
            <w:pPr>
              <w:spacing w:after="0" w:line="264"/>
            </w:pPr>
            <w:r>
              <w:rPr>
                <w:b/>
                <w:bCs/>
                <w:color w:val="0F172A"/>
                <w:sz w:val="21"/>
                <w:szCs w:val="21"/>
              </w:rPr>
              <w:t xml:space="preserve">Individual dev / small team</w:t>
            </w:r>
          </w:p>
        </w:tc>
        <w:tc>
          <w:tcPr>
            <w:tcW w:type="pct" w:w="100%"/>
            <w:tcMar>
              <w:top w:type="dxa" w:w="90"/>
              <w:left w:type="dxa" w:w="120"/>
              <w:bottom w:type="dxa" w:w="90"/>
              <w:right w:type="dxa" w:w="120"/>
            </w:tcMar>
          </w:tcPr>
          <w:p>
            <w:pPr>
              <w:spacing w:after="0" w:line="264"/>
            </w:pPr>
            <w:r>
              <w:rPr>
                <w:b/>
                <w:bCs/>
                <w:color w:val="F59E0B"/>
                <w:sz w:val="21"/>
                <w:szCs w:val="21"/>
              </w:rPr>
              <w:t xml:space="preserve">1.5 – 2.5 Lakh</w:t>
            </w:r>
          </w:p>
        </w:tc>
        <w:tc>
          <w:tcPr>
            <w:tcW w:type="pct" w:w="100%"/>
            <w:tcMar>
              <w:top w:type="dxa" w:w="90"/>
              <w:left w:type="dxa" w:w="120"/>
              <w:bottom w:type="dxa" w:w="90"/>
              <w:right w:type="dxa" w:w="120"/>
            </w:tcMar>
          </w:tcPr>
          <w:p>
            <w:pPr>
              <w:spacing w:after="0" w:line="264"/>
            </w:pPr>
            <w:r>
              <w:rPr>
                <w:b w:val="false"/>
                <w:bCs w:val="false"/>
                <w:color w:val="0F172A"/>
                <w:sz w:val="21"/>
                <w:szCs w:val="21"/>
              </w:rPr>
              <w:t xml:space="preserve">Codebase + backend to build their own product on.</w:t>
            </w:r>
          </w:p>
        </w:tc>
      </w:tr>
    </w:tbl>
    <w:p>
      <w:pPr>
        <w:pStyle w:val="Heading1"/>
        <w:spacing w:after="140" w:before="260"/>
      </w:pPr>
      <w:r>
        <w:rPr>
          <w:color w:val="0F172A"/>
        </w:rPr>
        <w:t xml:space="preserve">9. Closing the Deal</w:t>
      </w:r>
    </w:p>
    <w:p>
      <w:pPr>
        <w:spacing w:after="120" w:line="276"/>
      </w:pPr>
      <w:r>
        <w:t xml:space="preserve">When the buyer is ready, use a soft assumption close that moves to action instead of asking "do you want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shd w:fill="ECFDF5" w:val="clear"/>
            <w:tcMar>
              <w:top w:type="dxa" w:w="120"/>
              <w:left w:type="dxa" w:w="160"/>
              <w:bottom w:type="dxa" w:w="120"/>
              <w:right w:type="dxa" w:w="160"/>
            </w:tcMar>
          </w:tcPr>
          <w:p>
            <w:pPr>
              <w:spacing w:after="60"/>
            </w:pPr>
            <w:r>
              <w:rPr>
                <w:b/>
                <w:bCs/>
                <w:color w:val="10B981"/>
              </w:rPr>
              <w:t xml:space="preserve">Closing line</w:t>
            </w:r>
          </w:p>
          <w:p>
            <w:pPr>
              <w:spacing w:after="0" w:line="276"/>
            </w:pPr>
            <w:r>
              <w:rPr>
                <w:color w:val="10B981"/>
                <w:sz w:val="21"/>
                <w:szCs w:val="21"/>
              </w:rPr>
              <w:t xml:space="preserve">“Great. To move forward, the terms are [amount] — 50% now to hold the project and transfer access, 50% on completion of your live handover. I’ll set up the domain, code and dashboard transfers, and walk your developer through the setup. Whenever you’re ready to start the transfer, send over the first payment and I’ll begin.”</w:t>
            </w:r>
          </w:p>
        </w:tc>
      </w:tr>
    </w:tbl>
    <w:p>
      <w:pPr>
        <w:spacing w:after="120" w:line="276"/>
      </w:pPr>
      <w:r>
        <w:t xml:space="preserve">Silence after the closing line is normal — give the buyer space to respond. Do not fill the silence with a lower price.</w:t>
      </w:r>
    </w:p>
    <w:p>
      <w:pPr>
        <w:spacing w:before="360"/>
      </w:pPr>
      <w:r>
        <w:rPr>
          <w:i/>
          <w:iCs/>
          <w:color w:val="64748B"/>
          <w:sz w:val="18"/>
          <w:szCs w:val="18"/>
        </w:rPr>
        <w:t xml:space="preserve">GradeWallah — Pricing &amp; Negotiation · Confidential to seller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GradeWallah — Pricing &amp; Negotiation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2026-09-07T18:49:55.334Z</dcterms:created>
  <dcterms:modified xsi:type="dcterms:W3CDTF">2026-09-07T18:49:55.334Z</dcterms:modified>
</cp:coreProperties>
</file>

<file path=docProps/custom.xml><?xml version="1.0" encoding="utf-8"?>
<Properties xmlns="http://schemas.openxmlformats.org/officeDocument/2006/custom-properties" xmlns:vt="http://schemas.openxmlformats.org/officeDocument/2006/docPropsVTypes"/>
</file>