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pPr>
    </w:p>
    <w:p>
      <w:pPr>
        <w:spacing w:after="40"/>
        <w:jc w:val="center"/>
      </w:pPr>
      <w:r>
        <w:rPr>
          <w:rFonts w:ascii="Arial" w:cs="Arial" w:eastAsia="Arial" w:hAnsi="Arial"/>
          <w:b/>
          <w:bCs/>
          <w:color w:val="0B97A8"/>
          <w:sz w:val="48"/>
          <w:szCs w:val="48"/>
        </w:rPr>
        <w:t xml:space="preserve">GRADEWALLAH</w:t>
      </w:r>
    </w:p>
    <w:p>
      <w:pPr>
        <w:spacing w:after="60"/>
        <w:jc w:val="center"/>
      </w:pPr>
      <w:r>
        <w:rPr>
          <w:b/>
          <w:bCs/>
          <w:color w:val="7C4DFF"/>
          <w:sz w:val="30"/>
          <w:szCs w:val="30"/>
        </w:rPr>
        <w:t xml:space="preserve">Technical Handoff Guide</w:t>
      </w:r>
    </w:p>
    <w:p>
      <w:pPr>
        <w:spacing w:after="400"/>
        <w:jc w:val="center"/>
      </w:pPr>
      <w:r>
        <w:rPr>
          <w:color w:val="64748B"/>
          <w:sz w:val="22"/>
          <w:szCs w:val="22"/>
        </w:rPr>
        <w:t xml:space="preserve">For the buying developer / technical team</w:t>
      </w:r>
    </w:p>
    <w:p>
      <w:pPr>
        <w:spacing w:after="400"/>
        <w:jc w:val="center"/>
      </w:pPr>
      <w:r>
        <w:rPr>
          <w:i/>
          <w:iCs/>
          <w:color w:val="0F172A"/>
          <w:sz w:val="22"/>
          <w:szCs w:val="22"/>
        </w:rPr>
        <w:t xml:space="preserve">This guide gives the buyer’s developer everything needed to receive, run, deploy and maintain GradeWallah after transfer.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fill="E6FFFA" w:val="clear"/>
            <w:tcMar>
              <w:top w:type="dxa" w:w="120"/>
              <w:left w:type="dxa" w:w="160"/>
              <w:bottom w:type="dxa" w:w="120"/>
              <w:right w:type="dxa" w:w="160"/>
            </w:tcMar>
          </w:tcPr>
          <w:p>
            <w:pPr>
              <w:spacing w:after="60"/>
            </w:pPr>
            <w:r>
              <w:rPr>
                <w:b/>
                <w:bCs/>
                <w:color w:val="0B97A8"/>
              </w:rPr>
              <w:t xml:space="preserve">ℹ About this document</w:t>
            </w:r>
          </w:p>
          <w:p>
            <w:pPr>
              <w:spacing w:after="0" w:line="276"/>
            </w:pPr>
            <w:r>
              <w:rPr>
                <w:color w:val="0B97A8"/>
                <w:sz w:val="21"/>
                <w:szCs w:val="21"/>
              </w:rPr>
              <w:t xml:space="preserve">This is a technical reference, not a sales document. It assumes the reader is a developer comfortable with React, Node.js, Python, PostgreSQL and modern web deployment. This guide maps the complete architecture so that taking over is straightforward.</w:t>
            </w:r>
          </w:p>
        </w:tc>
      </w:tr>
    </w:tbl>
    <w:p>
      <w:pPr>
        <w:pStyle w:val="Heading1"/>
        <w:spacing w:after="140" w:before="280"/>
      </w:pPr>
      <w:r>
        <w:rPr>
          <w:color w:val="0F172A"/>
        </w:rPr>
        <w:t xml:space="preserve">1. System Overview &amp; Architecture</w:t>
      </w:r>
    </w:p>
    <w:p>
      <w:pPr>
        <w:spacing w:after="120" w:line="276"/>
      </w:pPr>
      <w:r>
        <w:t xml:space="preserve">GradeWallah is composed of two main deployable services plus a third-tier database layer. The two services are the frontend (browser app) and the backend (REST API). They communicate over HTTPS.</w:t>
      </w:r>
    </w:p>
    <w:p>
      <w:pPr>
        <w:pStyle w:val="Heading2"/>
        <w:spacing w:after="140" w:before="280"/>
      </w:pPr>
      <w:r>
        <w:rPr>
          <w:color w:val="0F172A"/>
        </w:rPr>
        <w:t xml:space="preserve">1.1 High-Level Diagram</w:t>
      </w:r>
    </w:p>
    <w:p>
      <w:pPr>
        <w:spacing w:after="160"/>
      </w:pPr>
      <w:r>
        <w:rPr>
          <w:i/>
          <w:iCs/>
          <w:color w:val="64748B"/>
          <w:sz w:val="18"/>
          <w:szCs w:val="18"/>
        </w:rPr>
        <w:t xml:space="preserve">Browser → Frontend (Vercel) → calls → Backend API (Render) → reads/writes → Supabase (PostgreSQL)</w:t>
      </w:r>
    </w:p>
    <w:p>
      <w:pPr>
        <w:spacing w:after="120" w:line="276"/>
      </w:pPr>
      <w:r>
        <w:t xml:space="preserve">The frontend fetches most static content (semester data, study resources, college lists) directly from Supabase, and fetches live data (internships, placements, DSA profiles, AI answers, tuition) from the Python backend.</w:t>
      </w:r>
    </w:p>
    <w:p>
      <w:pPr>
        <w:pStyle w:val="Heading2"/>
        <w:spacing w:after="140" w:before="280"/>
      </w:pPr>
      <w:r>
        <w:rPr>
          <w:color w:val="0F172A"/>
        </w:rPr>
        <w:t xml:space="preserve">1.2 The Three Repositories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Repository</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Purpose</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Stack</w:t>
            </w:r>
          </w:p>
        </w:tc>
      </w:tr>
      <w:tr>
        <w:tc>
          <w:tcPr>
            <w:tcW w:type="pct" w:w="100%"/>
            <w:tcMar>
              <w:top w:type="dxa" w:w="90"/>
              <w:left w:type="dxa" w:w="120"/>
              <w:bottom w:type="dxa" w:w="90"/>
              <w:right w:type="dxa" w:w="120"/>
            </w:tcMar>
          </w:tcPr>
          <w:p>
            <w:pPr>
              <w:spacing w:after="0" w:line="262"/>
            </w:pPr>
            <w:r>
              <w:rPr>
                <w:b/>
                <w:bCs/>
                <w:color w:val="0F172A"/>
                <w:sz w:val="21"/>
                <w:szCs w:val="21"/>
              </w:rPr>
              <w:t xml:space="preserve">GRADEWISE_PROJECT457</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Main student platform (all pages)</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React 19 + Vite 8, Clerk, Supabase client</w:t>
            </w:r>
          </w:p>
        </w:tc>
      </w:tr>
      <w:tr>
        <w:tc>
          <w:tcPr>
            <w:tcW w:type="pct" w:w="100%"/>
            <w:tcMar>
              <w:top w:type="dxa" w:w="90"/>
              <w:left w:type="dxa" w:w="120"/>
              <w:bottom w:type="dxa" w:w="90"/>
              <w:right w:type="dxa" w:w="120"/>
            </w:tcMar>
          </w:tcPr>
          <w:p>
            <w:pPr>
              <w:spacing w:after="0" w:line="262"/>
            </w:pPr>
            <w:r>
              <w:rPr>
                <w:b/>
                <w:bCs/>
                <w:color w:val="0F172A"/>
                <w:sz w:val="21"/>
                <w:szCs w:val="21"/>
              </w:rPr>
              <w:t xml:space="preserve">gradewise-backend</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REST API: jobs, DSA, AI coach, tuition, payments</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Python 3, FastAPI, aiohttp, Pydantic</w:t>
            </w:r>
          </w:p>
        </w:tc>
      </w:tr>
      <w:tr>
        <w:tc>
          <w:tcPr>
            <w:tcW w:type="pct" w:w="100%"/>
            <w:tcMar>
              <w:top w:type="dxa" w:w="90"/>
              <w:left w:type="dxa" w:w="120"/>
              <w:bottom w:type="dxa" w:w="90"/>
              <w:right w:type="dxa" w:w="120"/>
            </w:tcMar>
          </w:tcPr>
          <w:p>
            <w:pPr>
              <w:spacing w:after="0" w:line="262"/>
            </w:pPr>
            <w:r>
              <w:rPr>
                <w:b/>
                <w:bCs/>
                <w:color w:val="0F172A"/>
                <w:sz w:val="21"/>
                <w:szCs w:val="21"/>
              </w:rPr>
              <w:t xml:space="preserve">gradewise-tutor-portal</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Separate app for tutors (dashboard)</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React 19 + Vite 8, Clerk</w:t>
            </w:r>
          </w:p>
        </w:tc>
      </w:tr>
    </w:tbl>
    <w:p>
      <w:pPr>
        <w:pStyle w:val="Heading1"/>
        <w:spacing w:after="140" w:before="280"/>
      </w:pPr>
      <w:r>
        <w:rPr>
          <w:color w:val="0F172A"/>
        </w:rPr>
        <w:t xml:space="preserve">2. Frontend (GRADEWISE_PROJECT457)</w:t>
      </w:r>
    </w:p>
    <w:p>
      <w:pPr>
        <w:pStyle w:val="Heading2"/>
        <w:spacing w:after="140" w:before="280"/>
      </w:pPr>
      <w:r>
        <w:rPr>
          <w:color w:val="0F172A"/>
        </w:rPr>
        <w:t xml:space="preserve">2.1 Key Libraries &amp; Versions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Package</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Role</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react 19 / react-dom</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UI framework</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vite 8</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Build tool + dev server</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@clerk/clerk-react</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Authentication (email OTP, Google, GitHub)</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@supabase/supabase-js</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Data access and live content CMS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react-router-dom 7</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Routing / navigation</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framer-motion 12</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Animations / page transitions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recharts 2</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Charts for DSA / analytics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react-google-recaptcha</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Bot protection on forms</w:t>
            </w:r>
          </w:p>
        </w:tc>
      </w:tr>
    </w:tbl>
    <w:p>
      <w:pPr>
        <w:pStyle w:val="Heading2"/>
        <w:spacing w:after="140" w:before="280"/>
      </w:pPr>
      <w:r>
        <w:rPr>
          <w:color w:val="0F172A"/>
        </w:rPr>
        <w:t xml:space="preserve">2.2 Folder Structure</w:t>
      </w:r>
    </w:p>
    <w:p>
      <w:pPr>
        <w:shd w:fill="EEF2FF" w:val="clear"/>
        <w:spacing w:after="120" w:before="40" w:line="264"/>
        <w:ind w:left="200"/>
      </w:pPr>
      <w:r>
        <w:rPr>
          <w:rFonts w:ascii="Consolas" w:cs="Consolas" w:eastAsia="Consolas" w:hAnsi="Consolas"/>
          <w:color w:val="0F172A"/>
          <w:sz w:val="20"/>
          <w:szCs w:val="20"/>
        </w:rPr>
        <w:t xml:space="preserve">src/
  App.jsx            # route map + router setup
  main.jsx          # entry point, Clerk provider, error boundary
  styles/style.css  # all styling (single file)
  pages/            # one file per page (Login, Dashboard, Analyser, ...)
  pages/components/ # shared UI (Sidebar, RightPanel, modals, charts)
  lib/              # utilities (grades engine, supabase, live content,
                    #   offline cache, PDF scan, api client, hooks)</w:t>
      </w:r>
    </w:p>
    <w:p>
      <w:pPr>
        <w:pStyle w:val="Heading2"/>
        <w:spacing w:after="140" w:before="280"/>
      </w:pPr>
      <w:r>
        <w:rPr>
          <w:color w:val="0F172A"/>
        </w:rPr>
        <w:t xml:space="preserve">2.3 Important Frontend Patterns</w:t>
      </w:r>
    </w:p>
    <w:p>
      <w:pPr>
        <w:pStyle w:val="ListParagraph"/>
        <w:numPr>
          <w:ilvl w:val="0"/>
          <w:numId w:val="2"/>
        </w:numPr>
        <w:spacing w:after="70" w:line="276"/>
      </w:pPr>
      <w:r>
        <w:t xml:space="preserve">Pages are lazy-loaded (React.lazy + Suspense) for fast initial load.</w:t>
      </w:r>
    </w:p>
    <w:p>
      <w:pPr>
        <w:pStyle w:val="ListParagraph"/>
        <w:numPr>
          <w:ilvl w:val="0"/>
          <w:numId w:val="2"/>
        </w:numPr>
        <w:spacing w:after="70" w:line="276"/>
      </w:pPr>
      <w:r>
        <w:t xml:space="preserve">Route guarding is two-layer: ProtectedRoute (must be signed in) and ContentProtectedRoute (must be signed in AND live content loaded).</w:t>
      </w:r>
    </w:p>
    <w:p>
      <w:pPr>
        <w:pStyle w:val="ListParagraph"/>
        <w:numPr>
          <w:ilvl w:val="0"/>
          <w:numId w:val="2"/>
        </w:numPr>
        <w:spacing w:after="70" w:line="276"/>
      </w:pPr>
      <w:r>
        <w:t xml:space="preserve">Live content (semester data, resources, college lists) is loaded from a Supabase table called site_content and cached in IndexedDB (stale-while-revalidate). No code change is needed to update content.</w:t>
      </w:r>
    </w:p>
    <w:p>
      <w:pPr>
        <w:pStyle w:val="Heading2"/>
        <w:spacing w:after="140" w:before="280"/>
      </w:pPr>
      <w:r>
        <w:rPr>
          <w:color w:val="0F172A"/>
        </w:rPr>
        <w:t xml:space="preserve">2.4 Master CSS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fill="FEF3C7" w:val="clear"/>
            <w:tcMar>
              <w:top w:type="dxa" w:w="120"/>
              <w:left w:type="dxa" w:w="160"/>
              <w:bottom w:type="dxa" w:w="120"/>
              <w:right w:type="dxa" w:w="160"/>
            </w:tcMar>
          </w:tcPr>
          <w:p>
            <w:pPr>
              <w:spacing w:after="60"/>
            </w:pPr>
            <w:r>
              <w:rPr>
                <w:b/>
                <w:bCs/>
                <w:color w:val="92400E"/>
              </w:rPr>
              <w:t xml:space="preserve">⚠ Single large stylesheet</w:t>
            </w:r>
          </w:p>
          <w:p>
            <w:pPr>
              <w:spacing w:after="0" w:line="276"/>
            </w:pPr>
            <w:r>
              <w:rPr>
                <w:color w:val="78350F"/>
                <w:sz w:val="21"/>
                <w:szCs w:val="21"/>
              </w:rPr>
              <w:t xml:space="preserve">All styling lives in src/styles/style.css (~8,100 lines). The app uses CSS variables for theming (dark/light). If you refactor, use CSS modules or Tailwind incrementally — but be aware this is the one biggest maintenance surface in the frontend.</w:t>
            </w:r>
          </w:p>
        </w:tc>
      </w:tr>
    </w:tbl>
    <w:p>
      <w:pPr>
        <w:pStyle w:val="Heading1"/>
        <w:spacing w:after="140" w:before="280"/>
      </w:pPr>
      <w:r>
        <w:rPr>
          <w:color w:val="0F172A"/>
        </w:rPr>
        <w:t xml:space="preserve">3. Frontend Environment Variables</w:t>
      </w:r>
    </w:p>
    <w:p>
      <w:pPr>
        <w:spacing w:after="120" w:line="276"/>
      </w:pPr>
      <w:r>
        <w:t xml:space="preserve">Create a .env file in the frontend root. Four variables are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Variable</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Where to get it</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VITE_CLERK_PUBLISHABLE_KEY</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Clerk Dashboard → API Keys → Publishable key</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VITE_SUPABASE_URL</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Supabase → Project Settings → API</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VITE_SUPABASE_ANON_KEY</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Supabase → Project Settings → API (anon/public key)</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VITE_PYTHON_BACKEND_URL</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URL of the deployed backend, e.g. https://your-backend.onrender.com</w:t>
            </w:r>
          </w:p>
        </w:tc>
      </w:tr>
    </w:tbl>
    <w:p>
      <w:pPr>
        <w:shd w:fill="EEF2FF" w:val="clear"/>
        <w:spacing w:after="120" w:before="40" w:line="264"/>
        <w:ind w:left="200"/>
      </w:pPr>
      <w:r>
        <w:rPr>
          <w:rFonts w:ascii="Consolas" w:cs="Consolas" w:eastAsia="Consolas" w:hAnsi="Consolas"/>
          <w:color w:val="0F172A"/>
          <w:sz w:val="20"/>
          <w:szCs w:val="20"/>
        </w:rPr>
        <w:t xml:space="preserve">VITE_CLERK_PUBLISHABLE_KEY=
VITE_SUPABASE_URL=
VITE_SUPABASE_ANON_KEY=
VITE_PYTHON_BACKEND_URL=</w:t>
      </w:r>
    </w:p>
    <w:p>
      <w:pPr>
        <w:pStyle w:val="Heading2"/>
        <w:spacing w:after="140" w:before="280"/>
      </w:pPr>
      <w:r>
        <w:rPr>
          <w:color w:val="0F172A"/>
        </w:rPr>
        <w:t xml:space="preserve">Local Frontend Setup</w:t>
      </w:r>
    </w:p>
    <w:p>
      <w:pPr>
        <w:shd w:fill="EEF2FF" w:val="clear"/>
        <w:spacing w:after="120" w:before="40" w:line="264"/>
        <w:ind w:left="200"/>
      </w:pPr>
      <w:r>
        <w:rPr>
          <w:rFonts w:ascii="Consolas" w:cs="Consolas" w:eastAsia="Consolas" w:hAnsi="Consolas"/>
          <w:color w:val="0F172A"/>
          <w:sz w:val="20"/>
          <w:szCs w:val="20"/>
        </w:rPr>
        <w:t xml:space="preserve">cd GRADEWISE_PROJECT457
npm install
cp .env.example .env   # then fill real values
npm run dev            # http://localhost:5173</w:t>
      </w:r>
    </w:p>
    <w:p>
      <w:pPr>
        <w:spacing w:after="120" w:line="276"/>
      </w:pPr>
      <w:r>
        <w:t xml:space="preserve">Build commands: npm run build (production bundle), npm run preview (serve build locally), npm run lint (oxlint).</w:t>
      </w:r>
    </w:p>
    <w:p>
      <w:pPr>
        <w:pStyle w:val="Heading1"/>
        <w:spacing w:after="140" w:before="280"/>
      </w:pPr>
      <w:r>
        <w:rPr>
          <w:color w:val="0F172A"/>
        </w:rPr>
        <w:t xml:space="preserve">4. Backend (gradewise-backend)</w:t>
      </w:r>
    </w:p>
    <w:p>
      <w:pPr>
        <w:spacing w:after="120" w:line="276"/>
      </w:pPr>
      <w:r>
        <w:t xml:space="preserve">The backend is a Python FastAPI application that performs three distinct functions: (1) daily aggregation of internships/placements from external APIs, (2) on-demand DSA coding-profile tracking across 6 platforms, and (3) the AI coach and tuition/payment modules.</w:t>
      </w:r>
    </w:p>
    <w:p>
      <w:pPr>
        <w:pStyle w:val="Heading2"/>
        <w:spacing w:after="140" w:before="280"/>
      </w:pPr>
      <w:r>
        <w:rPr>
          <w:color w:val="0F172A"/>
        </w:rPr>
        <w:t xml:space="preserve">4.1 Key Dependencies</w:t>
      </w:r>
    </w:p>
    <w:p>
      <w:pPr>
        <w:spacing w:after="120" w:line="276"/>
      </w:pPr>
      <w:r>
        <w:t xml:space="preserve">fastapi, uvicorn, aiohttp, pydantic, requests, tenacity, beautifulsoup4, python-dotenv, playwright, selenium, httpx, google-auth, PyJWT[crypto], tzdata.</w:t>
      </w:r>
    </w:p>
    <w:p>
      <w:pPr>
        <w:pStyle w:val="Heading2"/>
        <w:spacing w:after="140" w:before="280"/>
      </w:pPr>
      <w:r>
        <w:rPr>
          <w:color w:val="0F172A"/>
        </w:rPr>
        <w:t xml:space="preserve">4.2 Folder Structure</w:t>
      </w:r>
    </w:p>
    <w:p>
      <w:pPr>
        <w:shd w:fill="EEF2FF" w:val="clear"/>
        <w:spacing w:after="120" w:before="40" w:line="264"/>
        <w:ind w:left="200"/>
      </w:pPr>
      <w:r>
        <w:rPr>
          <w:rFonts w:ascii="Consolas" w:cs="Consolas" w:eastAsia="Consolas" w:hAnsi="Consolas"/>
          <w:color w:val="0F172A"/>
          <w:sz w:val="20"/>
          <w:szCs w:val="20"/>
        </w:rPr>
        <w:t xml:space="preserve">server.py            # entrypoint: uvicorn, runs on PORT (default 5050)
app/
  main.py           # FastAPI app, all routes
  config.py         # env vars, API URL templates, constants
  sync.py           # daily concurrent job-source sync (asyncio.gather)
  db.py             # Supabase REST wrapper
  lock.py           # cron locking (in-process + cross-instance)
  utils.py          # data cleaning, dedup, SSRF guard, dead-link checks
  models.py         # Pydantic validation models
  ratelimit.py      # per-IP rate limiting
  alerts.py         # Discord/Slack failure alerts
  canary.py         # CodeChef fallback health check
  cache.py / retry.py  # DSA caching + resilient outbound calls
  sources/          # one file per job source (jsearch, adzuna, ...)
  dsa/              # one file per platform (leetcode, codechef, ...)
  ai/coach.py       # LLM + voice transcription
  tuition.py        # payments, JaaS video, JWT
tests/             # pytest suite (240+ tests, ~90% coverage)</w:t>
      </w:r>
    </w:p>
    <w:p>
      <w:pPr>
        <w:pStyle w:val="Heading2"/>
        <w:spacing w:after="140" w:before="280"/>
      </w:pPr>
      <w:r>
        <w:rPr>
          <w:color w:val="0F172A"/>
        </w:rPr>
        <w:t xml:space="preserve">4.3 Routes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Endpoint</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Purpose</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GET /health, /ping</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Health check</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GET /api/internships</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Live internship listings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GET /api/placements</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Live placement listings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POST /api/quick-apply</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Submit quick-apply</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GET /api/{platform}/{username}</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DSA stats (leetcode, codechef, codeforces, gfg, hackerrank, github)</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GET /api/contests/upcoming</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Upcoming coding contests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POST /api/ai/explain|dsa-roadmap|ask|transcribe</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AI coach endpoints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POST /api/tuition/*</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Tutor apply, slots, bookings, payments, video links, reviews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GET /api/sync, /api/debug</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Admin-only (requires x-admin-key header)</w:t>
            </w:r>
          </w:p>
        </w:tc>
      </w:tr>
    </w:tbl>
    <w:p>
      <w:pPr>
        <w:pStyle w:val="Heading2"/>
        <w:spacing w:after="140" w:before="280"/>
      </w:pPr>
      <w:r>
        <w:rPr>
          <w:color w:val="0F172A"/>
        </w:rPr>
        <w:t xml:space="preserve">4.4 Daily Sync &amp; the Scheduler</w:t>
      </w:r>
    </w:p>
    <w:p>
      <w:pPr>
        <w:spacing w:after="120" w:line="276"/>
      </w:pPr>
      <w:r>
        <w:t xml:space="preserve">A cron loop inside the backend runs a daily sync that fetches all 9 internship/placement sources concurrently (asyncio.gather), validates and deduplicates every listing, saves to Supabase, deletes expired listings, and prunes dead links. The frontend always reads from Supabase — it never scrapes live on a user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fill="F5F3FF" w:val="clear"/>
            <w:tcMar>
              <w:top w:type="dxa" w:w="120"/>
              <w:left w:type="dxa" w:w="160"/>
              <w:bottom w:type="dxa" w:w="120"/>
              <w:right w:type="dxa" w:w="160"/>
            </w:tcMar>
          </w:tcPr>
          <w:p>
            <w:pPr>
              <w:spacing w:after="60"/>
            </w:pPr>
            <w:r>
              <w:rPr>
                <w:b/>
                <w:bCs/>
                <w:color w:val="7C4DFF"/>
              </w:rPr>
              <w:t xml:space="preserve">Deployment note</w:t>
            </w:r>
          </w:p>
          <w:p>
            <w:pPr>
              <w:spacing w:after="0" w:line="276"/>
            </w:pPr>
            <w:r>
              <w:rPr>
                <w:color w:val="7C4DFF"/>
                <w:sz w:val="21"/>
                <w:szCs w:val="21"/>
              </w:rPr>
              <w:t xml:space="preserve">This scheduler runs inside the server process itself. It starts at boot (runs an initial sync if Supabase is empty) and repeats every 24 hours. If you deploy on a platform that does not keep the process always-on, replicate this daily job with the platform’s own scheduler/cron.</w:t>
            </w:r>
          </w:p>
        </w:tc>
      </w:tr>
    </w:tbl>
    <w:p>
      <w:pPr>
        <w:pStyle w:val="Heading1"/>
        <w:spacing w:after="140" w:before="280"/>
      </w:pPr>
      <w:r>
        <w:rPr>
          <w:color w:val="0F172A"/>
        </w:rPr>
        <w:t xml:space="preserve">5. Backend Environment Variables</w:t>
      </w:r>
    </w:p>
    <w:p>
      <w:pPr>
        <w:pStyle w:val="Heading2"/>
        <w:spacing w:after="140" w:before="280"/>
      </w:pPr>
      <w:r>
        <w:rPr>
          <w:color w:val="0F172A"/>
        </w:rPr>
        <w:t xml:space="preserve">5.1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Variable</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Purpose</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SUPABASE_URL</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Project URL</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SUPABASE_KEY</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Service-role key (server only — never expose to browser)</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RAPIDAPI_KEY</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JSearch listings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ADZUNA_APP_ID / ADZUNA_API_KEY</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Adzuna listings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ADMIN_KEY</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Protects /api/sync and /api/debug</w:t>
            </w:r>
          </w:p>
        </w:tc>
      </w:tr>
    </w:tbl>
    <w:p>
      <w:pPr>
        <w:pStyle w:val="Heading2"/>
        <w:spacing w:after="140" w:before="280"/>
      </w:pPr>
      <w:r>
        <w:rPr>
          <w:color w:val="0F172A"/>
        </w:rPr>
        <w:t xml:space="preserve">5.2 Optional but Important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6400"/>
      </w:tblGrid>
      <w:tr>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Variable</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Purpose</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GROQ_API_KEY</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Enables AI coach. Without it, AI endpoints return 503.</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GITHUB_TOKEN</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Raises GitHub API limit from 60 to 5000 req/hr for DSA GitHub tracking.</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ALERT_WEBHOOK_URL / ALERT_WEBHOOK_TYPE</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Discord/Slack alerts on sync failures.</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LOG_LEVEL</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DEBUG/INFO/WARNING/ERROR (default INFO).</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CODECHEF_CANARY_USERNAME</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Known active handle used for daily CodeChef scraper health check.</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PROXY_URL</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Optional proxy for retried scraper requests (anti IP-blocking).</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CACHE_BACKEND</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memory | redis | supabase — DSA cache backend.</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REDIS_URL</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Required only if CACHE_BACKEND=redis.</w:t>
            </w:r>
          </w:p>
        </w:tc>
      </w:tr>
    </w:tbl>
    <w:p>
      <w:pPr>
        <w:pStyle w:val="Heading2"/>
        <w:spacing w:after="140" w:before="280"/>
      </w:pPr>
      <w:r>
        <w:rPr>
          <w:color w:val="0F172A"/>
        </w:rPr>
        <w:t xml:space="preserve">5.3 Tuition Module (payments +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Variable</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Purpose</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RAZORPAY_KEY_ID / RAZORPAY_KEY_SECRET</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Razorpay payments (INR). Use test keys until live.</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RAZORPAY_WEBHOOK_SECRET</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Verifies payment-captured webhook backstop.</w:t>
            </w:r>
          </w:p>
        </w:tc>
      </w:tr>
      <w:tr>
        <w:tc>
          <w:tcPr>
            <w:tcW w:type="pct" w:w="100%"/>
            <w:tcMar>
              <w:top w:type="dxa" w:w="90"/>
              <w:left w:type="dxa" w:w="120"/>
              <w:bottom w:type="dxa" w:w="90"/>
              <w:right w:type="dxa" w:w="120"/>
            </w:tcMar>
          </w:tcPr>
          <w:p>
            <w:pPr>
              <w:spacing w:after="0" w:line="262"/>
            </w:pPr>
            <w:r>
              <w:rPr>
                <w:rFonts w:ascii="Consolas" w:cs="Consolas" w:eastAsia="Consolas" w:hAnsi="Consolas"/>
                <w:b w:val="false"/>
                <w:bCs w:val="false"/>
                <w:color w:val="0F172A"/>
                <w:sz w:val="21"/>
                <w:szCs w:val="21"/>
              </w:rPr>
              <w:t xml:space="preserve">JAAS_APP_ID / JAAS_API_KEY_ID / JAAS_PRIVATE_KEY</w:t>
            </w:r>
          </w:p>
        </w:tc>
        <w:tc>
          <w:tcPr>
            <w:tcW w:type="pct" w:w="100%"/>
            <w:tcMar>
              <w:top w:type="dxa" w:w="90"/>
              <w:left w:type="dxa" w:w="120"/>
              <w:bottom w:type="dxa" w:w="90"/>
              <w:right w:type="dxa" w:w="120"/>
            </w:tcMar>
          </w:tcPr>
          <w:p>
            <w:pPr>
              <w:spacing w:after="0" w:line="262"/>
            </w:pPr>
            <w:r>
              <w:rPr>
                <w:b w:val="false"/>
                <w:bCs w:val="false"/>
                <w:color w:val="0F172A"/>
                <w:sz w:val="21"/>
                <w:szCs w:val="21"/>
              </w:rPr>
              <w:t xml:space="preserve">8×8 JaaS video-call JWT signing (free tier sufficient).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fill="FEF3C7" w:val="clear"/>
            <w:tcMar>
              <w:top w:type="dxa" w:w="120"/>
              <w:left w:type="dxa" w:w="160"/>
              <w:bottom w:type="dxa" w:w="120"/>
              <w:right w:type="dxa" w:w="160"/>
            </w:tcMar>
          </w:tcPr>
          <w:p>
            <w:pPr>
              <w:spacing w:after="60"/>
            </w:pPr>
            <w:r>
              <w:rPr>
                <w:b/>
                <w:bCs/>
                <w:color w:val="92400E"/>
              </w:rPr>
              <w:t xml:space="preserve">⚠ Video calls &amp; payments are optional integrations</w:t>
            </w:r>
          </w:p>
          <w:p>
            <w:pPr>
              <w:spacing w:after="0" w:line="276"/>
            </w:pPr>
            <w:r>
              <w:rPr>
                <w:color w:val="78350F"/>
                <w:sz w:val="21"/>
                <w:szCs w:val="21"/>
              </w:rPr>
              <w:t xml:space="preserve">The core product (grades, resources, jobs, DSA) works without these keys. Attendance payments and video sessions are gated on their respective keys being set. Set them up only if you want the tuition marketplace live. See env.example for exact onboarding.</w:t>
            </w:r>
          </w:p>
        </w:tc>
      </w:tr>
    </w:tbl>
    <w:p>
      <w:pPr>
        <w:pStyle w:val="Heading1"/>
        <w:spacing w:after="140" w:before="280"/>
      </w:pPr>
      <w:r>
        <w:rPr>
          <w:color w:val="0F172A"/>
        </w:rPr>
        <w:t xml:space="preserve">6. Database Schema (Supabase / PostgreSQL)</w:t>
      </w:r>
    </w:p>
    <w:p>
      <w:pPr>
        <w:spacing w:after="120" w:line="276"/>
      </w:pPr>
      <w:r>
        <w:t xml:space="preserve">Supabase stores both the live content the app reads and the operational data (bookings, applications, listings). The repo ships SQL schema files that must be run in the Supabase SQL Editor.</w:t>
      </w:r>
    </w:p>
    <w:p>
      <w:pPr>
        <w:pStyle w:val="ListParagraph"/>
        <w:numPr>
          <w:ilvl w:val="0"/>
          <w:numId w:val="2"/>
        </w:numPr>
        <w:spacing w:after="70" w:line="276"/>
      </w:pPr>
      <w:r>
        <w:t xml:space="preserve">site_content — key/value JSON for the CMS (semesters, resources, colleges, branches).</w:t>
      </w:r>
    </w:p>
    <w:p>
      <w:pPr>
        <w:pStyle w:val="ListParagraph"/>
        <w:numPr>
          <w:ilvl w:val="0"/>
          <w:numId w:val="2"/>
        </w:numPr>
        <w:spacing w:after="70" w:line="276"/>
      </w:pPr>
      <w:r>
        <w:t xml:space="preserve">all_internships / all_placements — aggregated listings written by the daily sync.</w:t>
      </w:r>
    </w:p>
    <w:p>
      <w:pPr>
        <w:pStyle w:val="ListParagraph"/>
        <w:numPr>
          <w:ilvl w:val="0"/>
          <w:numId w:val="2"/>
        </w:numPr>
        <w:spacing w:after="70" w:line="276"/>
      </w:pPr>
      <w:r>
        <w:t xml:space="preserve">teacher_profiles, teacher_availability, tuition_bookings, teacher_reviews — tuition marketplace.</w:t>
      </w:r>
    </w:p>
    <w:p>
      <w:pPr>
        <w:pStyle w:val="ListParagraph"/>
        <w:numPr>
          <w:ilvl w:val="0"/>
          <w:numId w:val="2"/>
        </w:numPr>
        <w:spacing w:after="70" w:line="276"/>
      </w:pPr>
      <w:r>
        <w:t xml:space="preserve">quick_applications — quick-apply submissions.</w:t>
      </w:r>
    </w:p>
    <w:p>
      <w:pPr>
        <w:pStyle w:val="ListParagraph"/>
        <w:numPr>
          <w:ilvl w:val="0"/>
          <w:numId w:val="2"/>
        </w:numPr>
        <w:spacing w:after="70" w:line="276"/>
      </w:pPr>
      <w:r>
        <w:t xml:space="preserve">Leaderboard / snapshot tables — CGPA + DSA leaderboards and history.</w:t>
      </w:r>
    </w:p>
    <w:p>
      <w:pPr>
        <w:spacing w:after="120" w:line="276"/>
      </w:pPr>
      <w:r>
        <w:t xml:space="preserve">The relevant `.sql` files are provided in the backend repository and should be run in order during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fill="FEF3C7" w:val="clear"/>
            <w:tcMar>
              <w:top w:type="dxa" w:w="120"/>
              <w:left w:type="dxa" w:w="160"/>
              <w:bottom w:type="dxa" w:w="120"/>
              <w:right w:type="dxa" w:w="160"/>
            </w:tcMar>
          </w:tcPr>
          <w:p>
            <w:pPr>
              <w:spacing w:after="60"/>
            </w:pPr>
            <w:r>
              <w:rPr>
                <w:b/>
                <w:bCs/>
                <w:color w:val="92400E"/>
              </w:rPr>
              <w:t xml:space="preserve">⚠ Clerk ↔ Supabase RLS</w:t>
            </w:r>
          </w:p>
          <w:p>
            <w:pPr>
              <w:spacing w:after="0" w:line="276"/>
            </w:pPr>
            <w:r>
              <w:rPr>
                <w:color w:val="78350F"/>
                <w:sz w:val="21"/>
                <w:szCs w:val="21"/>
              </w:rPr>
              <w:t xml:space="preserve">Auth is handled by Clerk, not Supabase Auth. To let the browser read/write its own rows, Supabase must be configured with Clerk as a Third-Party Auth provider (see CLERK_MIGRATION.md in the frontend). Row-level security policies reference auth.jwt()-&gt;&gt;'sub' (the Clerk user id). Getting this wired correctly is the single most setup-sensitive part of the handover.</w:t>
            </w:r>
          </w:p>
        </w:tc>
      </w:tr>
    </w:tbl>
    <w:p>
      <w:pPr>
        <w:pStyle w:val="Heading1"/>
        <w:spacing w:after="140" w:before="280"/>
      </w:pPr>
      <w:r>
        <w:rPr>
          <w:color w:val="0F172A"/>
        </w:rPr>
        <w:t xml:space="preserve">7. Keeping the Backend Warm</w:t>
      </w:r>
    </w:p>
    <w:p>
      <w:pPr>
        <w:spacing w:after="120" w:line="276"/>
      </w:pPr>
      <w:r>
        <w:t xml:space="preserve">If the backend is hosted on a free/Render instance that sleeps after inactivity, cold starts slow down the dashboard (which calls the backend on load). A GitHub Action (keep-backend-warm.yml) pings /health every 10 minutes to prevent sleep. Ensure the backend is always on, or note this as an operational concern.</w:t>
      </w:r>
    </w:p>
    <w:p>
      <w:pPr>
        <w:pStyle w:val="Heading1"/>
        <w:spacing w:after="140" w:before="280"/>
      </w:pPr>
      <w:r>
        <w:rPr>
          <w:color w:val="0F172A"/>
        </w:rPr>
        <w:t xml:space="preserve">8. Running the Backend Test Suite</w:t>
      </w:r>
    </w:p>
    <w:p>
      <w:pPr>
        <w:shd w:fill="EEF2FF" w:val="clear"/>
        <w:spacing w:after="120" w:before="40" w:line="264"/>
        <w:ind w:left="200"/>
      </w:pPr>
      <w:r>
        <w:rPr>
          <w:rFonts w:ascii="Consolas" w:cs="Consolas" w:eastAsia="Consolas" w:hAnsi="Consolas"/>
          <w:color w:val="0F172A"/>
          <w:sz w:val="20"/>
          <w:szCs w:val="20"/>
        </w:rPr>
        <w:t xml:space="preserve">cd gradewise-backend
pip install -r requirements-dev.txt
pytest                       # full suite
pytest --cov=app --cov-report=term-missing   # with coverage</w:t>
      </w:r>
    </w:p>
    <w:p>
      <w:pPr>
        <w:spacing w:after="120" w:line="276"/>
      </w:pPr>
      <w:r>
        <w:t xml:space="preserve">All external APIs are mocked in tests, so the suite runs offline with no real network calls. It is the highest-confidence signal that a change has not broken the aggregation or DSA layers.</w:t>
      </w:r>
    </w:p>
    <w:p>
      <w:pPr>
        <w:pStyle w:val="Heading1"/>
        <w:spacing w:after="140" w:before="280"/>
      </w:pPr>
      <w:r>
        <w:rPr>
          <w:color w:val="0F172A"/>
        </w:rPr>
        <w:t xml:space="preserve">9. Deployment Summary</w:t>
      </w:r>
    </w:p>
    <w:p>
      <w:pPr>
        <w:pStyle w:val="Heading2"/>
        <w:spacing w:after="140" w:before="280"/>
      </w:pPr>
      <w:r>
        <w:rPr>
          <w:color w:val="0F172A"/>
        </w:rPr>
        <w:t xml:space="preserve">9.1 Frontend → Vercel</w:t>
      </w:r>
    </w:p>
    <w:p>
      <w:pPr>
        <w:pStyle w:val="ListParagraph"/>
        <w:numPr>
          <w:ilvl w:val="0"/>
          <w:numId w:val="2"/>
        </w:numPr>
        <w:spacing w:after="70" w:line="276"/>
      </w:pPr>
      <w:r>
        <w:t xml:space="preserve">Import the GRADEWISE_PROJECT457 repo into Vercel.</w:t>
      </w:r>
    </w:p>
    <w:p>
      <w:pPr>
        <w:pStyle w:val="ListParagraph"/>
        <w:numPr>
          <w:ilvl w:val="0"/>
          <w:numId w:val="2"/>
        </w:numPr>
        <w:spacing w:after="70" w:line="276"/>
      </w:pPr>
      <w:r>
        <w:t xml:space="preserve">Set the four VITE_* environment variables in the Vercel project settings.</w:t>
      </w:r>
    </w:p>
    <w:p>
      <w:pPr>
        <w:pStyle w:val="ListParagraph"/>
        <w:numPr>
          <w:ilvl w:val="0"/>
          <w:numId w:val="2"/>
        </w:numPr>
        <w:spacing w:after="70" w:line="276"/>
      </w:pPr>
      <w:r>
        <w:t xml:space="preserve">Point the domain (gradewallah.com or a new one) at the Vercel deployment.</w:t>
      </w:r>
    </w:p>
    <w:p>
      <w:pPr>
        <w:pStyle w:val="ListParagraph"/>
        <w:numPr>
          <w:ilvl w:val="0"/>
          <w:numId w:val="2"/>
        </w:numPr>
        <w:spacing w:after="70" w:line="276"/>
      </w:pPr>
      <w:r>
        <w:t xml:space="preserve">Deploy automatically on push to the main branch.</w:t>
      </w:r>
    </w:p>
    <w:p>
      <w:pPr>
        <w:pStyle w:val="Heading2"/>
        <w:spacing w:after="140" w:before="280"/>
      </w:pPr>
      <w:r>
        <w:rPr>
          <w:color w:val="0F172A"/>
        </w:rPr>
        <w:t xml:space="preserve">9.2 Backend → Render (or any host)</w:t>
      </w:r>
    </w:p>
    <w:p>
      <w:pPr>
        <w:pStyle w:val="ListParagraph"/>
        <w:numPr>
          <w:ilvl w:val="0"/>
          <w:numId w:val="2"/>
        </w:numPr>
        <w:spacing w:after="70" w:line="276"/>
      </w:pPr>
      <w:r>
        <w:t xml:space="preserve">Deploy the gradewise-backend repo as a web service.</w:t>
      </w:r>
    </w:p>
    <w:p>
      <w:pPr>
        <w:pStyle w:val="ListParagraph"/>
        <w:numPr>
          <w:ilvl w:val="0"/>
          <w:numId w:val="2"/>
        </w:numPr>
        <w:spacing w:after="70" w:line="276"/>
      </w:pPr>
      <w:r>
        <w:t xml:space="preserve">Start command: python server.py (port from PORT env, default 5050).</w:t>
      </w:r>
    </w:p>
    <w:p>
      <w:pPr>
        <w:pStyle w:val="ListParagraph"/>
        <w:numPr>
          <w:ilvl w:val="0"/>
          <w:numId w:val="2"/>
        </w:numPr>
        <w:spacing w:after="70" w:line="276"/>
      </w:pPr>
      <w:r>
        <w:t xml:space="preserve">Set the required / optional env vars from section 5.</w:t>
      </w:r>
    </w:p>
    <w:p>
      <w:pPr>
        <w:pStyle w:val="ListParagraph"/>
        <w:numPr>
          <w:ilvl w:val="0"/>
          <w:numId w:val="2"/>
        </w:numPr>
        <w:spacing w:after="70" w:line="276"/>
      </w:pPr>
      <w:r>
        <w:t xml:space="preserve">Run the SQL schema files in Supabase.</w:t>
      </w:r>
    </w:p>
    <w:p>
      <w:pPr>
        <w:pStyle w:val="ListParagraph"/>
        <w:numPr>
          <w:ilvl w:val="0"/>
          <w:numId w:val="2"/>
        </w:numPr>
        <w:spacing w:after="70" w:line="276"/>
      </w:pPr>
      <w:r>
        <w:t xml:space="preserve">Configure the GitHub keep-warm workflow with a BACKEND_URL secret.</w:t>
      </w:r>
    </w:p>
    <w:p>
      <w:pPr>
        <w:pStyle w:val="Heading1"/>
        <w:spacing w:after="140" w:before="280"/>
      </w:pPr>
      <w:r>
        <w:rPr>
          <w:color w:val="0F172A"/>
        </w:rPr>
        <w:t xml:space="preserve">10. Standard Handover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pct" w:w="100%"/>
            <w:shd w:fill="FFFFFF" w:val="clear"/>
            <w:tcMar>
              <w:top w:type="dxa" w:w="90"/>
              <w:left w:type="dxa" w:w="120"/>
              <w:bottom w:type="dxa" w:w="90"/>
              <w:right w:type="dxa" w:w="120"/>
            </w:tcMar>
          </w:tcPr>
          <w:p>
            <w:pPr>
              <w:spacing w:after="0" w:line="262"/>
            </w:pPr>
            <w:r>
              <w:rPr>
                <w:b/>
                <w:bCs/>
                <w:color w:val="0F172A"/>
                <w:sz w:val="21"/>
                <w:szCs w:val="21"/>
              </w:rPr>
              <w:t xml:space="preserve">Repository access</w:t>
            </w:r>
          </w:p>
        </w:tc>
        <w:tc>
          <w:tcPr>
            <w:tcW w:type="pct" w:w="100%"/>
            <w:shd w:fill="FFFFFF" w:val="clear"/>
            <w:tcMar>
              <w:top w:type="dxa" w:w="90"/>
              <w:left w:type="dxa" w:w="120"/>
              <w:bottom w:type="dxa" w:w="90"/>
              <w:right w:type="dxa" w:w="120"/>
            </w:tcMar>
          </w:tcPr>
          <w:p>
            <w:pPr>
              <w:spacing w:after="0" w:line="262"/>
            </w:pPr>
            <w:r>
              <w:rPr>
                <w:b w:val="false"/>
                <w:bCs w:val="false"/>
                <w:color w:val="0F172A"/>
                <w:sz w:val="21"/>
                <w:szCs w:val="21"/>
              </w:rPr>
              <w:t xml:space="preserve">Grant/transfer read-write access on the three repos</w:t>
            </w:r>
          </w:p>
        </w:tc>
      </w:tr>
      <w:tr>
        <w:tc>
          <w:tcPr>
            <w:tcW w:type="pct" w:w="100%"/>
            <w:shd w:fill="F1F5F9" w:val="clear"/>
            <w:tcMar>
              <w:top w:type="dxa" w:w="90"/>
              <w:left w:type="dxa" w:w="120"/>
              <w:bottom w:type="dxa" w:w="90"/>
              <w:right w:type="dxa" w:w="120"/>
            </w:tcMar>
          </w:tcPr>
          <w:p>
            <w:pPr>
              <w:spacing w:after="0" w:line="262"/>
            </w:pPr>
            <w:r>
              <w:rPr>
                <w:b/>
                <w:bCs/>
                <w:color w:val="0F172A"/>
                <w:sz w:val="21"/>
                <w:szCs w:val="21"/>
              </w:rPr>
              <w:t xml:space="preserve">Domain</w:t>
            </w:r>
          </w:p>
        </w:tc>
        <w:tc>
          <w:tcPr>
            <w:tcW w:type="pct" w:w="100%"/>
            <w:shd w:fill="F1F5F9" w:val="clear"/>
            <w:tcMar>
              <w:top w:type="dxa" w:w="90"/>
              <w:left w:type="dxa" w:w="120"/>
              <w:bottom w:type="dxa" w:w="90"/>
              <w:right w:type="dxa" w:w="120"/>
            </w:tcMar>
          </w:tcPr>
          <w:p>
            <w:pPr>
              <w:spacing w:after="0" w:line="262"/>
            </w:pPr>
            <w:r>
              <w:rPr>
                <w:b w:val="false"/>
                <w:bCs w:val="false"/>
                <w:color w:val="0F172A"/>
                <w:sz w:val="21"/>
                <w:szCs w:val="21"/>
              </w:rPr>
              <w:t xml:space="preserve">Transfer gradewallah.com DNS to the buyer’s host/account</w:t>
            </w:r>
          </w:p>
        </w:tc>
      </w:tr>
      <w:tr>
        <w:tc>
          <w:tcPr>
            <w:tcW w:type="pct" w:w="100%"/>
            <w:shd w:fill="FFFFFF" w:val="clear"/>
            <w:tcMar>
              <w:top w:type="dxa" w:w="90"/>
              <w:left w:type="dxa" w:w="120"/>
              <w:bottom w:type="dxa" w:w="90"/>
              <w:right w:type="dxa" w:w="120"/>
            </w:tcMar>
          </w:tcPr>
          <w:p>
            <w:pPr>
              <w:spacing w:after="0" w:line="262"/>
            </w:pPr>
            <w:r>
              <w:rPr>
                <w:b/>
                <w:bCs/>
                <w:color w:val="0F172A"/>
                <w:sz w:val="21"/>
                <w:szCs w:val="21"/>
              </w:rPr>
              <w:t xml:space="preserve">Clerk</w:t>
            </w:r>
          </w:p>
        </w:tc>
        <w:tc>
          <w:tcPr>
            <w:tcW w:type="pct" w:w="100%"/>
            <w:shd w:fill="FFFFFF" w:val="clear"/>
            <w:tcMar>
              <w:top w:type="dxa" w:w="90"/>
              <w:left w:type="dxa" w:w="120"/>
              <w:bottom w:type="dxa" w:w="90"/>
              <w:right w:type="dxa" w:w="120"/>
            </w:tcMar>
          </w:tcPr>
          <w:p>
            <w:pPr>
              <w:spacing w:after="0" w:line="262"/>
            </w:pPr>
            <w:r>
              <w:rPr>
                <w:b w:val="false"/>
                <w:bCs w:val="false"/>
                <w:color w:val="0F172A"/>
                <w:sz w:val="21"/>
                <w:szCs w:val="21"/>
              </w:rPr>
              <w:t xml:space="preserve">Give dashboard access; migrate/transfer if ownership required</w:t>
            </w:r>
          </w:p>
        </w:tc>
      </w:tr>
      <w:tr>
        <w:tc>
          <w:tcPr>
            <w:tcW w:type="pct" w:w="100%"/>
            <w:shd w:fill="F1F5F9" w:val="clear"/>
            <w:tcMar>
              <w:top w:type="dxa" w:w="90"/>
              <w:left w:type="dxa" w:w="120"/>
              <w:bottom w:type="dxa" w:w="90"/>
              <w:right w:type="dxa" w:w="120"/>
            </w:tcMar>
          </w:tcPr>
          <w:p>
            <w:pPr>
              <w:spacing w:after="0" w:line="262"/>
            </w:pPr>
            <w:r>
              <w:rPr>
                <w:b/>
                <w:bCs/>
                <w:color w:val="0F172A"/>
                <w:sz w:val="21"/>
                <w:szCs w:val="21"/>
              </w:rPr>
              <w:t xml:space="preserve">Supabase</w:t>
            </w:r>
          </w:p>
        </w:tc>
        <w:tc>
          <w:tcPr>
            <w:tcW w:type="pct" w:w="100%"/>
            <w:shd w:fill="F1F5F9" w:val="clear"/>
            <w:tcMar>
              <w:top w:type="dxa" w:w="90"/>
              <w:left w:type="dxa" w:w="120"/>
              <w:bottom w:type="dxa" w:w="90"/>
              <w:right w:type="dxa" w:w="120"/>
            </w:tcMar>
          </w:tcPr>
          <w:p>
            <w:pPr>
              <w:spacing w:after="0" w:line="262"/>
            </w:pPr>
            <w:r>
              <w:rPr>
                <w:b w:val="false"/>
                <w:bCs w:val="false"/>
                <w:color w:val="0F172A"/>
                <w:sz w:val="21"/>
                <w:szCs w:val="21"/>
              </w:rPr>
              <w:t xml:space="preserve">Give dashboard access; run schema SQL</w:t>
            </w:r>
          </w:p>
        </w:tc>
      </w:tr>
      <w:tr>
        <w:tc>
          <w:tcPr>
            <w:tcW w:type="pct" w:w="100%"/>
            <w:shd w:fill="FFFFFF" w:val="clear"/>
            <w:tcMar>
              <w:top w:type="dxa" w:w="90"/>
              <w:left w:type="dxa" w:w="120"/>
              <w:bottom w:type="dxa" w:w="90"/>
              <w:right w:type="dxa" w:w="120"/>
            </w:tcMar>
          </w:tcPr>
          <w:p>
            <w:pPr>
              <w:spacing w:after="0" w:line="262"/>
            </w:pPr>
            <w:r>
              <w:rPr>
                <w:b/>
                <w:bCs/>
                <w:color w:val="0F172A"/>
                <w:sz w:val="21"/>
                <w:szCs w:val="21"/>
              </w:rPr>
              <w:t xml:space="preserve">Vercel &amp; Render</w:t>
            </w:r>
          </w:p>
        </w:tc>
        <w:tc>
          <w:tcPr>
            <w:tcW w:type="pct" w:w="100%"/>
            <w:shd w:fill="FFFFFF" w:val="clear"/>
            <w:tcMar>
              <w:top w:type="dxa" w:w="90"/>
              <w:left w:type="dxa" w:w="120"/>
              <w:bottom w:type="dxa" w:w="90"/>
              <w:right w:type="dxa" w:w="120"/>
            </w:tcMar>
          </w:tcPr>
          <w:p>
            <w:pPr>
              <w:spacing w:after="0" w:line="262"/>
            </w:pPr>
            <w:r>
              <w:rPr>
                <w:b w:val="false"/>
                <w:bCs w:val="false"/>
                <w:color w:val="0F172A"/>
                <w:sz w:val="21"/>
                <w:szCs w:val="21"/>
              </w:rPr>
              <w:t xml:space="preserve">Transfer projects or replicate deployments</w:t>
            </w:r>
          </w:p>
        </w:tc>
      </w:tr>
      <w:tr>
        <w:tc>
          <w:tcPr>
            <w:tcW w:type="pct" w:w="100%"/>
            <w:shd w:fill="F1F5F9" w:val="clear"/>
            <w:tcMar>
              <w:top w:type="dxa" w:w="90"/>
              <w:left w:type="dxa" w:w="120"/>
              <w:bottom w:type="dxa" w:w="90"/>
              <w:right w:type="dxa" w:w="120"/>
            </w:tcMar>
          </w:tcPr>
          <w:p>
            <w:pPr>
              <w:spacing w:after="0" w:line="262"/>
            </w:pPr>
            <w:r>
              <w:rPr>
                <w:b/>
                <w:bCs/>
                <w:color w:val="0F172A"/>
                <w:sz w:val="21"/>
                <w:szCs w:val="21"/>
              </w:rPr>
              <w:t xml:space="preserve">Environment values</w:t>
            </w:r>
          </w:p>
        </w:tc>
        <w:tc>
          <w:tcPr>
            <w:tcW w:type="pct" w:w="100%"/>
            <w:shd w:fill="F1F5F9" w:val="clear"/>
            <w:tcMar>
              <w:top w:type="dxa" w:w="90"/>
              <w:left w:type="dxa" w:w="120"/>
              <w:bottom w:type="dxa" w:w="90"/>
              <w:right w:type="dxa" w:w="120"/>
            </w:tcMar>
          </w:tcPr>
          <w:p>
            <w:pPr>
              <w:spacing w:after="0" w:line="262"/>
            </w:pPr>
            <w:r>
              <w:rPr>
                <w:b w:val="false"/>
                <w:bCs w:val="false"/>
                <w:color w:val="0F172A"/>
                <w:sz w:val="21"/>
                <w:szCs w:val="21"/>
              </w:rPr>
              <w:t xml:space="preserve">Share a secure copy of all .env values (never commit them)</w:t>
            </w:r>
          </w:p>
        </w:tc>
      </w:tr>
      <w:tr>
        <w:tc>
          <w:tcPr>
            <w:tcW w:type="pct" w:w="100%"/>
            <w:shd w:fill="FFFFFF" w:val="clear"/>
            <w:tcMar>
              <w:top w:type="dxa" w:w="90"/>
              <w:left w:type="dxa" w:w="120"/>
              <w:bottom w:type="dxa" w:w="90"/>
              <w:right w:type="dxa" w:w="120"/>
            </w:tcMar>
          </w:tcPr>
          <w:p>
            <w:pPr>
              <w:spacing w:after="0" w:line="262"/>
            </w:pPr>
            <w:r>
              <w:rPr>
                <w:b/>
                <w:bCs/>
                <w:color w:val="0F172A"/>
                <w:sz w:val="21"/>
                <w:szCs w:val="21"/>
              </w:rPr>
              <w:t xml:space="preserve">Live walkthrough</w:t>
            </w:r>
          </w:p>
        </w:tc>
        <w:tc>
          <w:tcPr>
            <w:tcW w:type="pct" w:w="100%"/>
            <w:shd w:fill="FFFFFF" w:val="clear"/>
            <w:tcMar>
              <w:top w:type="dxa" w:w="90"/>
              <w:left w:type="dxa" w:w="120"/>
              <w:bottom w:type="dxa" w:w="90"/>
              <w:right w:type="dxa" w:w="120"/>
            </w:tcMar>
          </w:tcPr>
          <w:p>
            <w:pPr>
              <w:spacing w:after="0" w:line="262"/>
            </w:pPr>
            <w:r>
              <w:rPr>
                <w:b w:val="false"/>
                <w:bCs w:val="false"/>
                <w:color w:val="0F172A"/>
                <w:sz w:val="21"/>
                <w:szCs w:val="21"/>
              </w:rPr>
              <w:t xml:space="preserve">Walk through local run + production deploy with the buyer’s dev</w:t>
            </w:r>
          </w:p>
        </w:tc>
      </w:tr>
      <w:tr>
        <w:tc>
          <w:tcPr>
            <w:tcW w:type="pct" w:w="100%"/>
            <w:shd w:fill="F1F5F9" w:val="clear"/>
            <w:tcMar>
              <w:top w:type="dxa" w:w="90"/>
              <w:left w:type="dxa" w:w="120"/>
              <w:bottom w:type="dxa" w:w="90"/>
              <w:right w:type="dxa" w:w="120"/>
            </w:tcMar>
          </w:tcPr>
          <w:p>
            <w:pPr>
              <w:spacing w:after="0" w:line="262"/>
            </w:pPr>
            <w:r>
              <w:rPr>
                <w:b/>
                <w:bCs/>
                <w:color w:val="0F172A"/>
                <w:sz w:val="21"/>
                <w:szCs w:val="21"/>
              </w:rPr>
              <w:t xml:space="preserve">Documentation</w:t>
            </w:r>
          </w:p>
        </w:tc>
        <w:tc>
          <w:tcPr>
            <w:tcW w:type="pct" w:w="100%"/>
            <w:shd w:fill="F1F5F9" w:val="clear"/>
            <w:tcMar>
              <w:top w:type="dxa" w:w="90"/>
              <w:left w:type="dxa" w:w="120"/>
              <w:bottom w:type="dxa" w:w="90"/>
              <w:right w:type="dxa" w:w="120"/>
            </w:tcMar>
          </w:tcPr>
          <w:p>
            <w:pPr>
              <w:spacing w:after="0" w:line="262"/>
            </w:pPr>
            <w:r>
              <w:rPr>
                <w:b w:val="false"/>
                <w:bCs w:val="false"/>
                <w:color w:val="0F172A"/>
                <w:sz w:val="21"/>
                <w:szCs w:val="21"/>
              </w:rPr>
              <w:t xml:space="preserve">Hand over this guide + CLERK_MIGRATION.md + LIVE_CONTENT_SETUP.md</w:t>
            </w:r>
          </w:p>
        </w:tc>
      </w:tr>
    </w:tbl>
    <w:p>
      <w:pPr>
        <w:pStyle w:val="Heading1"/>
        <w:spacing w:after="140" w:before="280"/>
      </w:pPr>
      <w:r>
        <w:rPr>
          <w:color w:val="0F172A"/>
        </w:rPr>
        <w:t xml:space="preserve">11. Common Maintenance Notes</w:t>
      </w:r>
    </w:p>
    <w:p>
      <w:pPr>
        <w:pStyle w:val="ListParagraph"/>
        <w:numPr>
          <w:ilvl w:val="0"/>
          <w:numId w:val="2"/>
        </w:numPr>
        <w:spacing w:after="70" w:line="276"/>
      </w:pPr>
      <w:r>
        <w:t xml:space="preserve">Deprecated keys or quota-exceeded errors from a job source only affect that source — the daily sync still saves the others.</w:t>
      </w:r>
    </w:p>
    <w:p>
      <w:pPr>
        <w:pStyle w:val="ListParagraph"/>
        <w:numPr>
          <w:ilvl w:val="0"/>
          <w:numId w:val="2"/>
        </w:numPr>
        <w:spacing w:after="70" w:line="276"/>
      </w:pPr>
      <w:r>
        <w:t xml:space="preserve">If internship counts drop to near zero after a sync, an upstream API likely changed shape — check the logs and alerts.</w:t>
      </w:r>
    </w:p>
    <w:p>
      <w:pPr>
        <w:pStyle w:val="ListParagraph"/>
        <w:numPr>
          <w:ilvl w:val="0"/>
          <w:numId w:val="2"/>
        </w:numPr>
        <w:spacing w:after="70" w:line="276"/>
      </w:pPr>
      <w:r>
        <w:t xml:space="preserve">Content edits do not require redeploys — edit the site_content rows in Supabase and the app refreshes.</w:t>
      </w:r>
    </w:p>
    <w:p>
      <w:pPr>
        <w:pStyle w:val="ListParagraph"/>
        <w:numPr>
          <w:ilvl w:val="0"/>
          <w:numId w:val="2"/>
        </w:numPr>
        <w:spacing w:after="70" w:line="276"/>
      </w:pPr>
      <w:r>
        <w:t xml:space="preserve">Local timezone handling for tuition slots is explicitly IST-to-UTC (Asia/Kolkata). Do not “fix” or remove it.</w:t>
      </w:r>
    </w:p>
    <w:p>
      <w:pPr>
        <w:pStyle w:val="ListParagraph"/>
        <w:numPr>
          <w:ilvl w:val="0"/>
          <w:numId w:val="2"/>
        </w:numPr>
        <w:spacing w:after="70" w:line="276"/>
      </w:pPr>
      <w:r>
        <w:t xml:space="preserve">The AI coach calls a live LLM per request and is intentionally rate-limited more strictly than other endpoints.</w:t>
      </w:r>
    </w:p>
    <w:p>
      <w:pPr>
        <w:spacing w:before="360"/>
      </w:pPr>
      <w:r>
        <w:rPr>
          <w:i/>
          <w:iCs/>
          <w:color w:val="64748B"/>
          <w:sz w:val="18"/>
          <w:szCs w:val="18"/>
        </w:rPr>
        <w:t xml:space="preserve">GradeWallah — Technical Handoff Guide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GradeWallah — Technical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2026-09-07T18:49:55.268Z</dcterms:created>
  <dcterms:modified xsi:type="dcterms:W3CDTF">2026-09-07T18:49:55.268Z</dcterms:modified>
</cp:coreProperties>
</file>

<file path=docProps/custom.xml><?xml version="1.0" encoding="utf-8"?>
<Properties xmlns="http://schemas.openxmlformats.org/officeDocument/2006/custom-properties" xmlns:vt="http://schemas.openxmlformats.org/officeDocument/2006/docPropsVTypes"/>
</file>