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0D3B66"/>
          <w:sz w:val="56"/>
        </w:rPr>
        <w:t>AVENTY Server Patching Automation</w:t>
      </w:r>
    </w:p>
    <w:p>
      <w:r>
        <w:br/>
      </w:r>
    </w:p>
    <w:p>
      <w:pPr>
        <w:jc w:val="center"/>
      </w:pPr>
      <w:r>
        <w:rPr>
          <w:color w:val="646464"/>
          <w:sz w:val="36"/>
        </w:rPr>
        <w:t>Process Definition Document (PDD)</w:t>
      </w:r>
    </w:p>
    <w:p>
      <w:r>
        <w:br/>
        <w:br/>
        <w:br/>
      </w:r>
    </w:p>
    <w:p>
      <w:pPr>
        <w:jc w:val="center"/>
      </w:pPr>
      <w:r>
        <w:rPr>
          <w:color w:val="960000"/>
          <w:sz w:val="24"/>
        </w:rPr>
        <w:t>CONFIDENTIAL</w:t>
      </w:r>
    </w:p>
    <w:p>
      <w:r>
        <w:br w:type="page"/>
      </w:r>
    </w:p>
    <w:p>
      <w:pPr>
        <w:spacing w:before="0" w:after="120"/>
        <w:jc w:val="left"/>
      </w:pPr>
      <w:r>
        <w:rPr>
          <w:rFonts w:ascii="Arial" w:hAnsi="Arial"/>
          <w:b/>
          <w:color w:val="0D3B66"/>
          <w:sz w:val="28"/>
        </w:rPr>
        <w:t>TABLE OF CONTENTS</w:t>
      </w:r>
    </w:p>
    <w:p>
      <w:pPr>
        <w:spacing w:after="40"/>
      </w:pPr>
      <w:r>
        <w:t>1. Document Control</w:t>
      </w:r>
    </w:p>
    <w:p>
      <w:pPr>
        <w:spacing w:after="40"/>
      </w:pPr>
      <w:r>
        <w:t xml:space="preserve">    1.1 Version Control</w:t>
      </w:r>
    </w:p>
    <w:p>
      <w:pPr>
        <w:spacing w:after="40"/>
      </w:pPr>
      <w:r>
        <w:t xml:space="preserve">    1.2 Document Review and Sign-Off</w:t>
      </w:r>
    </w:p>
    <w:p>
      <w:pPr>
        <w:spacing w:after="40"/>
      </w:pPr>
      <w:r>
        <w:t>2. General Process Description</w:t>
      </w:r>
    </w:p>
    <w:p>
      <w:pPr>
        <w:spacing w:after="40"/>
      </w:pPr>
      <w:r>
        <w:t xml:space="preserve">    2.1 Document Purpose</w:t>
      </w:r>
    </w:p>
    <w:p>
      <w:pPr>
        <w:spacing w:after="40"/>
      </w:pPr>
      <w:r>
        <w:t xml:space="preserve">    2.2 Process Summary</w:t>
      </w:r>
    </w:p>
    <w:p>
      <w:pPr>
        <w:spacing w:after="40"/>
      </w:pPr>
      <w:r>
        <w:t xml:space="preserve">    2.3 Applications Used</w:t>
      </w:r>
    </w:p>
    <w:p>
      <w:pPr>
        <w:spacing w:after="40"/>
      </w:pPr>
      <w:r>
        <w:t xml:space="preserve">    2.4 Inputs and Outputs</w:t>
      </w:r>
    </w:p>
    <w:p>
      <w:pPr>
        <w:spacing w:after="40"/>
      </w:pPr>
      <w:r>
        <w:t xml:space="preserve">    2.5 High-Level Process Flow</w:t>
      </w:r>
    </w:p>
    <w:p>
      <w:pPr>
        <w:spacing w:after="40"/>
      </w:pPr>
      <w:r>
        <w:t>3. Exception Handling</w:t>
      </w:r>
    </w:p>
    <w:p>
      <w:pPr>
        <w:spacing w:after="40"/>
      </w:pPr>
      <w:r>
        <w:t xml:space="preserve">    3.1 Known Exceptions</w:t>
      </w:r>
    </w:p>
    <w:p>
      <w:pPr>
        <w:spacing w:after="40"/>
      </w:pPr>
      <w:r>
        <w:t xml:space="preserve">    3.2 Unknown Exceptions</w:t>
      </w:r>
    </w:p>
    <w:p>
      <w:pPr>
        <w:spacing w:after="40"/>
      </w:pPr>
      <w:r>
        <w:t>4. Step-by-Step Process Documentation</w:t>
      </w:r>
    </w:p>
    <w:p>
      <w:r>
        <w:br w:type="page"/>
      </w:r>
    </w:p>
    <w:p>
      <w:pPr>
        <w:spacing w:before="0" w:after="120"/>
        <w:jc w:val="left"/>
      </w:pPr>
      <w:r>
        <w:rPr>
          <w:rFonts w:ascii="Arial" w:hAnsi="Arial"/>
          <w:b/>
          <w:color w:val="0D3B66"/>
          <w:sz w:val="28"/>
        </w:rPr>
        <w:t>1. DOCUMENT CONTROL</w:t>
      </w:r>
    </w:p>
    <w:p>
      <w:pPr>
        <w:spacing w:before="240" w:after="120"/>
        <w:jc w:val="left"/>
      </w:pPr>
      <w:r>
        <w:rPr>
          <w:rFonts w:ascii="Arial" w:hAnsi="Arial"/>
          <w:b/>
          <w:color w:val="0D3B66"/>
          <w:sz w:val="24"/>
        </w:rPr>
        <w:t>1.1 VERSION CONTROL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fill="4F81BD"/>
          </w:tcPr>
          <w:p>
            <w:pPr>
              <w:spacing w:before="80" w:after="80"/>
              <w:jc w:val="center"/>
            </w:pPr>
            <w:r>
              <w:rPr>
                <w:b/>
              </w:rPr>
              <w:t>Version</w:t>
            </w:r>
          </w:p>
        </w:tc>
        <w:tc>
          <w:tcPr>
            <w:tcW w:type="dxa" w:w="2160"/>
            <w:shd w:fill="4F81BD"/>
          </w:tcPr>
          <w:p>
            <w:pPr>
              <w:spacing w:before="80" w:after="80"/>
              <w:jc w:val="center"/>
            </w:pPr>
            <w:r>
              <w:rPr>
                <w:b/>
              </w:rPr>
              <w:t>Date</w:t>
            </w:r>
          </w:p>
        </w:tc>
        <w:tc>
          <w:tcPr>
            <w:tcW w:type="dxa" w:w="3600"/>
            <w:shd w:fill="4F81BD"/>
          </w:tcPr>
          <w:p>
            <w:pPr>
              <w:spacing w:before="80" w:after="80"/>
              <w:jc w:val="center"/>
            </w:pPr>
            <w:r>
              <w:rPr>
                <w:b/>
              </w:rPr>
              <w:t>Description</w:t>
            </w:r>
          </w:p>
        </w:tc>
        <w:tc>
          <w:tcPr>
            <w:tcW w:type="dxa" w:w="2160"/>
            <w:shd w:fill="4F81BD"/>
          </w:tcPr>
          <w:p>
            <w:pPr>
              <w:spacing w:before="80" w:after="80"/>
              <w:jc w:val="center"/>
            </w:pPr>
            <w:r>
              <w:rPr>
                <w:b/>
              </w:rPr>
              <w:t>Author</w:t>
            </w:r>
          </w:p>
        </w:tc>
      </w:tr>
      <w:tr>
        <w:tc>
          <w:tcPr>
            <w:tcW w:type="dxa" w:w="1440"/>
          </w:tcPr>
          <w:p>
            <w:pPr>
              <w:spacing w:before="80" w:after="80"/>
            </w:pPr>
            <w:r>
              <w:t>1.0</w:t>
            </w:r>
          </w:p>
        </w:tc>
        <w:tc>
          <w:tcPr>
            <w:tcW w:type="dxa" w:w="2160"/>
          </w:tcPr>
          <w:p>
            <w:pPr>
              <w:spacing w:before="80" w:after="80"/>
            </w:pPr>
            <w:r/>
          </w:p>
        </w:tc>
        <w:tc>
          <w:tcPr>
            <w:tcW w:type="dxa" w:w="3600"/>
          </w:tcPr>
          <w:p>
            <w:pPr>
              <w:spacing w:before="80" w:after="80"/>
            </w:pPr>
            <w:r>
              <w:t>Initial Draft</w:t>
            </w:r>
          </w:p>
        </w:tc>
        <w:tc>
          <w:tcPr>
            <w:tcW w:type="dxa" w:w="2160"/>
          </w:tcPr>
          <w:p>
            <w:pPr>
              <w:spacing w:before="80" w:after="80"/>
            </w:pPr>
            <w:r/>
          </w:p>
        </w:tc>
      </w:tr>
      <w:tr>
        <w:tc>
          <w:tcPr>
            <w:tcW w:type="dxa" w:w="1440"/>
          </w:tcPr>
          <w:p>
            <w:pPr>
              <w:spacing w:before="80" w:after="80"/>
            </w:pPr>
            <w:r/>
          </w:p>
        </w:tc>
        <w:tc>
          <w:tcPr>
            <w:tcW w:type="dxa" w:w="2160"/>
          </w:tcPr>
          <w:p>
            <w:pPr>
              <w:spacing w:before="80" w:after="80"/>
            </w:pPr>
            <w:r/>
          </w:p>
        </w:tc>
        <w:tc>
          <w:tcPr>
            <w:tcW w:type="dxa" w:w="3600"/>
          </w:tcPr>
          <w:p>
            <w:pPr>
              <w:spacing w:before="80" w:after="80"/>
            </w:pPr>
            <w:r/>
          </w:p>
        </w:tc>
        <w:tc>
          <w:tcPr>
            <w:tcW w:type="dxa" w:w="2160"/>
          </w:tcPr>
          <w:p>
            <w:pPr>
              <w:spacing w:before="80" w:after="80"/>
            </w:pPr>
            <w:r/>
          </w:p>
        </w:tc>
      </w:tr>
    </w:tbl>
    <w:p/>
    <w:p>
      <w:pPr>
        <w:spacing w:after="160"/>
      </w:pPr>
      <w:r>
        <w:rPr>
          <w:i/>
        </w:rPr>
        <w:t>** Document version should be updated when shared with primary stakeholders. **</w:t>
      </w:r>
    </w:p>
    <w:p>
      <w:pPr>
        <w:spacing w:before="240" w:after="120"/>
        <w:jc w:val="left"/>
      </w:pPr>
      <w:r>
        <w:rPr>
          <w:rFonts w:ascii="Arial" w:hAnsi="Arial"/>
          <w:b/>
          <w:color w:val="0D3B66"/>
          <w:sz w:val="24"/>
        </w:rPr>
        <w:t>1.2 DOCUMENT REVIEW AND SIGN-OFF</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fill="4F81BD"/>
          </w:tcPr>
          <w:p>
            <w:pPr>
              <w:spacing w:before="80" w:after="80"/>
              <w:jc w:val="center"/>
            </w:pPr>
            <w:r>
              <w:rPr>
                <w:b/>
              </w:rPr>
              <w:t>Name</w:t>
            </w:r>
          </w:p>
        </w:tc>
        <w:tc>
          <w:tcPr>
            <w:tcW w:type="dxa" w:w="2880"/>
            <w:shd w:fill="4F81BD"/>
          </w:tcPr>
          <w:p>
            <w:pPr>
              <w:spacing w:before="80" w:after="80"/>
              <w:jc w:val="center"/>
            </w:pPr>
            <w:r>
              <w:rPr>
                <w:b/>
              </w:rPr>
              <w:t>Business Role</w:t>
            </w:r>
          </w:p>
        </w:tc>
        <w:tc>
          <w:tcPr>
            <w:tcW w:type="dxa" w:w="2160"/>
            <w:shd w:fill="4F81BD"/>
          </w:tcPr>
          <w:p>
            <w:pPr>
              <w:spacing w:before="80" w:after="80"/>
              <w:jc w:val="center"/>
            </w:pPr>
            <w:r>
              <w:rPr>
                <w:b/>
              </w:rPr>
              <w:t>Action</w:t>
            </w:r>
          </w:p>
        </w:tc>
        <w:tc>
          <w:tcPr>
            <w:tcW w:type="dxa" w:w="2160"/>
            <w:shd w:fill="4F81BD"/>
          </w:tcPr>
          <w:p>
            <w:pPr>
              <w:spacing w:before="80" w:after="80"/>
              <w:jc w:val="center"/>
            </w:pPr>
            <w:r>
              <w:rPr>
                <w:b/>
              </w:rPr>
              <w:t>Date</w:t>
            </w:r>
          </w:p>
        </w:tc>
      </w:tr>
      <w:tr>
        <w:tc>
          <w:tcPr>
            <w:tcW w:type="dxa" w:w="2880"/>
          </w:tcPr>
          <w:p>
            <w:pPr>
              <w:spacing w:before="80" w:after="80"/>
            </w:pPr>
            <w:r/>
          </w:p>
        </w:tc>
        <w:tc>
          <w:tcPr>
            <w:tcW w:type="dxa" w:w="2880"/>
          </w:tcPr>
          <w:p>
            <w:pPr>
              <w:spacing w:before="80" w:after="80"/>
            </w:pPr>
            <w:r/>
          </w:p>
        </w:tc>
        <w:tc>
          <w:tcPr>
            <w:tcW w:type="dxa" w:w="2160"/>
          </w:tcPr>
          <w:p>
            <w:pPr>
              <w:spacing w:before="80" w:after="80"/>
            </w:pPr>
            <w:r/>
          </w:p>
        </w:tc>
        <w:tc>
          <w:tcPr>
            <w:tcW w:type="dxa" w:w="2160"/>
          </w:tcPr>
          <w:p>
            <w:pPr>
              <w:spacing w:before="80" w:after="80"/>
            </w:pPr>
            <w:r/>
          </w:p>
        </w:tc>
      </w:tr>
      <w:tr>
        <w:tc>
          <w:tcPr>
            <w:tcW w:type="dxa" w:w="2880"/>
          </w:tcPr>
          <w:p>
            <w:pPr>
              <w:spacing w:before="80" w:after="80"/>
            </w:pPr>
            <w:r/>
          </w:p>
        </w:tc>
        <w:tc>
          <w:tcPr>
            <w:tcW w:type="dxa" w:w="2880"/>
          </w:tcPr>
          <w:p>
            <w:pPr>
              <w:spacing w:before="80" w:after="80"/>
            </w:pPr>
            <w:r/>
          </w:p>
        </w:tc>
        <w:tc>
          <w:tcPr>
            <w:tcW w:type="dxa" w:w="2160"/>
          </w:tcPr>
          <w:p>
            <w:pPr>
              <w:spacing w:before="80" w:after="80"/>
            </w:pPr>
            <w:r/>
          </w:p>
        </w:tc>
        <w:tc>
          <w:tcPr>
            <w:tcW w:type="dxa" w:w="2160"/>
          </w:tcPr>
          <w:p>
            <w:pPr>
              <w:spacing w:before="80" w:after="80"/>
            </w:pPr>
            <w:r/>
          </w:p>
        </w:tc>
      </w:tr>
    </w:tbl>
    <w:p/>
    <w:p>
      <w:r>
        <w:br w:type="page"/>
      </w:r>
    </w:p>
    <w:p>
      <w:pPr>
        <w:spacing w:before="0" w:after="120"/>
        <w:jc w:val="left"/>
      </w:pPr>
      <w:r>
        <w:rPr>
          <w:rFonts w:ascii="Arial" w:hAnsi="Arial"/>
          <w:b/>
          <w:color w:val="0D3B66"/>
          <w:sz w:val="28"/>
        </w:rPr>
        <w:t>2. GENERAL PROCESS DESCRIPTION</w:t>
      </w:r>
    </w:p>
    <w:p>
      <w:pPr>
        <w:spacing w:before="240" w:after="120"/>
        <w:jc w:val="left"/>
      </w:pPr>
      <w:r>
        <w:rPr>
          <w:rFonts w:ascii="Arial" w:hAnsi="Arial"/>
          <w:b/>
          <w:color w:val="0D3B66"/>
          <w:sz w:val="24"/>
        </w:rPr>
        <w:t>2.1 DOCUMENT PURPOSE</w:t>
      </w:r>
    </w:p>
    <w:p>
      <w:pPr>
        <w:spacing w:after="160"/>
      </w:pPr>
      <w:r>
        <w:t>Here is the Document Purpose section:</w:t>
      </w:r>
    </w:p>
    <w:p>
      <w:pPr>
        <w:spacing w:after="160"/>
      </w:pPr>
      <w:r>
        <w:t>**Document Purpose**</w:t>
      </w:r>
    </w:p>
    <w:p>
      <w:pPr>
        <w:spacing w:after="160"/>
      </w:pPr>
      <w:r>
        <w:t>This document outlines the process for automating server patching using AVENTY Server Patching Automation. The primary purpose of this automation is to streamline the process of deploying security patches, including those from Microsoft, on a monthly basis. By automating this process, we aim to reduce manual effort and minimize downtime, while ensuring that our servers remain up-to-date with the latest security patches.</w:t>
      </w:r>
    </w:p>
    <w:p>
      <w:pPr>
        <w:spacing w:after="160"/>
      </w:pPr>
      <w:r>
        <w:t>This document solves a business problem by providing an efficient and reliable method for managing server patching, which is critical to maintaining system security and stability. The automation process eliminates the need for manual intervention and reduces the risk of human error, thereby improving overall system reliability.</w:t>
      </w:r>
    </w:p>
    <w:p>
      <w:pPr>
        <w:spacing w:after="160"/>
      </w:pPr>
      <w:r>
        <w:t>This document will be used by the IT team responsible for maintaining our server infrastructure, including those involved in configuring and scheduling AVENTY Server Patching Automation. It will also serve as a reference guide for troubleshooting and resolving any issues that may arise during the patching process.</w:t>
      </w:r>
    </w:p>
    <w:p>
      <w:pPr>
        <w:spacing w:before="240" w:after="120"/>
        <w:jc w:val="left"/>
      </w:pPr>
      <w:r>
        <w:rPr>
          <w:rFonts w:ascii="Arial" w:hAnsi="Arial"/>
          <w:b/>
          <w:color w:val="0D3B66"/>
          <w:sz w:val="24"/>
        </w:rPr>
        <w:t>2.2 PROCESS SUMMARY</w:t>
      </w:r>
    </w:p>
    <w:p>
      <w:pPr>
        <w:spacing w:after="160"/>
      </w:pPr>
      <w:r>
        <w:t>**Server Patch Management and Deployment Process**</w:t>
      </w:r>
    </w:p>
    <w:p>
      <w:pPr>
        <w:spacing w:after="160"/>
      </w:pPr>
      <w:r>
        <w:t>The objective of this business process is to ensure that Microsoft servers are properly patched and up-to-date with the latest security updates, applications, and configurations. This process involves using Aventy's Ivanti system for patch management and deployment, as well as Microsoft servers and Remote Desktop Protocol (RDP) for remote access.</w:t>
      </w:r>
    </w:p>
    <w:p>
      <w:pPr>
        <w:spacing w:after="160"/>
      </w:pPr>
      <w:r>
        <w:t>**Main Steps:**</w:t>
      </w:r>
    </w:p>
    <w:p>
      <w:pPr>
        <w:spacing w:after="160"/>
      </w:pPr>
      <w:r>
        <w:t>The process begins by logging into the Aventy console and selecting a server group, typically the 11th server group. The next step is to run a template on post-Tuesday, which is usually done monthly. This involves defining development and reboot templates, scheduling patching for the second Tuesday after the second Tuesday, and scanning servers for missing patches or not.</w:t>
      </w:r>
    </w:p>
    <w:p>
      <w:pPr>
        <w:spacing w:after="160"/>
      </w:pPr>
      <w:r>
        <w:t>After scanning, a report is generated and sent to a configured email box. The report is then reviewed to check deployment status and identify any failures. If a failure occurs, the reasons are documented and escalated to the vendor team or application team if patching fails after three attempts.</w:t>
      </w:r>
    </w:p>
    <w:p>
      <w:pPr>
        <w:spacing w:after="160"/>
      </w:pPr>
      <w:r>
        <w:t>**Applications and Systems Used:**</w:t>
      </w:r>
    </w:p>
    <w:p>
      <w:pPr>
        <w:spacing w:after="160"/>
      </w:pPr>
      <w:r>
        <w:t>* Aventy console</w:t>
        <w:br/>
        <w:t>* Ivanti (server management system)</w:t>
        <w:br/>
        <w:t>* Microsoft servers</w:t>
        <w:br/>
        <w:t>* Remote Desktop Protocol (RDP)</w:t>
      </w:r>
    </w:p>
    <w:p>
      <w:pPr>
        <w:spacing w:after="160"/>
      </w:pPr>
      <w:r>
        <w:t>**Data Processed:**</w:t>
      </w:r>
    </w:p>
    <w:p>
      <w:pPr>
        <w:spacing w:after="160"/>
      </w:pPr>
      <w:r>
        <w:t>* Server security patches</w:t>
        <w:br/>
        <w:t>* Chrome patches</w:t>
        <w:br/>
        <w:t>* Credential and access data for servers</w:t>
        <w:br/>
        <w:t>* Scan report data</w:t>
        <w:br/>
        <w:t>* Deployment status</w:t>
      </w:r>
    </w:p>
    <w:p>
      <w:pPr>
        <w:spacing w:after="160"/>
      </w:pPr>
      <w:r>
        <w:t>**Expected Outcome:**</w:t>
      </w:r>
    </w:p>
    <w:p>
      <w:pPr>
        <w:spacing w:after="160"/>
      </w:pPr>
      <w:r>
        <w:t>The expected outcome of this process is the successful deployment of security patches and Chrome updates to servers, as well as the identification and resolution of any patching failures. This ensures that Microsoft servers are properly patched and up-to-date with the latest security updates, applications, and configurations.</w:t>
      </w:r>
    </w:p>
    <w:p>
      <w:pPr>
        <w:spacing w:after="160"/>
      </w:pPr>
      <w:r>
        <w:t>By following this business process, organizations can ensure that their server infrastructure is secure, reliable, and compliant with organizational policies.</w:t>
      </w:r>
    </w:p>
    <w:p>
      <w:pPr>
        <w:spacing w:before="240" w:after="120"/>
        <w:jc w:val="left"/>
      </w:pPr>
      <w:r>
        <w:rPr>
          <w:rFonts w:ascii="Arial" w:hAnsi="Arial"/>
          <w:b/>
          <w:color w:val="0D3B66"/>
          <w:sz w:val="24"/>
        </w:rPr>
        <w:t>2.3 APPLICATIONS USED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fill="4F81BD"/>
          </w:tcPr>
          <w:p>
            <w:pPr>
              <w:spacing w:before="80" w:after="80"/>
              <w:jc w:val="center"/>
            </w:pPr>
            <w:r>
              <w:rPr>
                <w:b/>
              </w:rPr>
              <w:t>Application</w:t>
            </w:r>
          </w:p>
        </w:tc>
        <w:tc>
          <w:tcPr>
            <w:tcW w:type="dxa" w:w="1872"/>
            <w:shd w:fill="4F81BD"/>
          </w:tcPr>
          <w:p>
            <w:pPr>
              <w:spacing w:before="80" w:after="80"/>
              <w:jc w:val="center"/>
            </w:pPr>
            <w:r>
              <w:rPr>
                <w:b/>
              </w:rPr>
              <w:t>Interface</w:t>
            </w:r>
          </w:p>
        </w:tc>
        <w:tc>
          <w:tcPr>
            <w:tcW w:type="dxa" w:w="2880"/>
            <w:shd w:fill="4F81BD"/>
          </w:tcPr>
          <w:p>
            <w:pPr>
              <w:spacing w:before="80" w:after="80"/>
              <w:jc w:val="center"/>
            </w:pPr>
            <w:r>
              <w:rPr>
                <w:b/>
              </w:rPr>
              <w:t>Key Operation / URL</w:t>
            </w:r>
          </w:p>
        </w:tc>
        <w:tc>
          <w:tcPr>
            <w:tcW w:type="dxa" w:w="2592"/>
            <w:shd w:fill="4F81BD"/>
          </w:tcPr>
          <w:p>
            <w:pPr>
              <w:spacing w:before="80" w:after="80"/>
              <w:jc w:val="center"/>
            </w:pPr>
            <w:r>
              <w:rPr>
                <w:b/>
              </w:rPr>
              <w:t>Purpose</w:t>
            </w:r>
          </w:p>
        </w:tc>
      </w:tr>
      <w:tr>
        <w:tc>
          <w:tcPr>
            <w:tcW w:type="dxa" w:w="2592"/>
          </w:tcPr>
          <w:p>
            <w:pPr>
              <w:spacing w:before="80" w:after="80"/>
            </w:pPr>
            <w:r/>
          </w:p>
        </w:tc>
        <w:tc>
          <w:tcPr>
            <w:tcW w:type="dxa" w:w="1872"/>
          </w:tcPr>
          <w:p>
            <w:pPr>
              <w:spacing w:before="80" w:after="80"/>
            </w:pPr>
            <w:r/>
          </w:p>
        </w:tc>
        <w:tc>
          <w:tcPr>
            <w:tcW w:type="dxa" w:w="2880"/>
          </w:tcPr>
          <w:p>
            <w:pPr>
              <w:spacing w:before="80" w:after="80"/>
            </w:pPr>
            <w:r/>
          </w:p>
        </w:tc>
        <w:tc>
          <w:tcPr>
            <w:tcW w:type="dxa" w:w="2592"/>
          </w:tcPr>
          <w:p>
            <w:pPr>
              <w:spacing w:before="80" w:after="80"/>
            </w:pPr>
            <w:r/>
          </w:p>
        </w:tc>
      </w:tr>
    </w:tbl>
    <w:p/>
    <w:p>
      <w:pPr>
        <w:spacing w:before="240" w:after="120"/>
        <w:jc w:val="left"/>
      </w:pPr>
      <w:r>
        <w:rPr>
          <w:rFonts w:ascii="Arial" w:hAnsi="Arial"/>
          <w:b/>
          <w:color w:val="0D3B66"/>
          <w:sz w:val="24"/>
        </w:rPr>
        <w:t>2.4 INPUTS AND OUTPUTS</w:t>
      </w:r>
    </w:p>
    <w:p>
      <w:pPr>
        <w:spacing w:before="160" w:after="80"/>
      </w:pPr>
      <w:r>
        <w:rPr>
          <w:b/>
        </w:rPr>
        <w:t>Inputs:</w:t>
      </w:r>
    </w:p>
    <w:p>
      <w:pPr>
        <w:spacing w:after="40"/>
      </w:pPr>
      <w:r>
        <w:t>➤ No specific inputs identified</w:t>
      </w:r>
    </w:p>
    <w:p>
      <w:pPr>
        <w:spacing w:before="160" w:after="80"/>
      </w:pPr>
      <w:r>
        <w:rPr>
          <w:b/>
        </w:rPr>
        <w:t>Outputs:</w:t>
      </w:r>
    </w:p>
    <w:p>
      <w:pPr>
        <w:spacing w:after="40"/>
      </w:pPr>
      <w:r>
        <w:t>➤ No specific outputs identified</w:t>
      </w:r>
    </w:p>
    <w:p/>
    <w:p>
      <w:pPr>
        <w:spacing w:before="240" w:after="120"/>
        <w:jc w:val="left"/>
      </w:pPr>
      <w:r>
        <w:rPr>
          <w:rFonts w:ascii="Arial" w:hAnsi="Arial"/>
          <w:b/>
          <w:color w:val="0D3B66"/>
          <w:sz w:val="24"/>
        </w:rPr>
        <w:t>2.5 HIGH-LEVEL PROCESS FLOW</w:t>
      </w:r>
    </w:p>
    <w:p>
      <w:pPr>
        <w:jc w:val="center"/>
      </w:pPr>
      <w:r>
        <w:drawing>
          <wp:inline xmlns:a="http://schemas.openxmlformats.org/drawingml/2006/main" xmlns:pic="http://schemas.openxmlformats.org/drawingml/2006/picture">
            <wp:extent cx="5943600" cy="4249674"/>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943600" cy="4249674"/>
                    </a:xfrm>
                    <a:prstGeom prst="rect"/>
                  </pic:spPr>
                </pic:pic>
              </a:graphicData>
            </a:graphic>
          </wp:inline>
        </w:drawing>
      </w:r>
    </w:p>
    <w:p>
      <w:pPr>
        <w:jc w:val="center"/>
      </w:pPr>
      <w:r>
        <w:rPr>
          <w:i/>
          <w:sz w:val="20"/>
        </w:rPr>
        <w:t>Figure 1: AVENTY Server Patching Automation Process Flow</w:t>
      </w:r>
    </w:p>
    <w:p/>
    <w:p/>
    <w:p>
      <w:r>
        <w:br w:type="page"/>
      </w:r>
    </w:p>
    <w:p>
      <w:pPr>
        <w:spacing w:before="0" w:after="120"/>
        <w:jc w:val="left"/>
      </w:pPr>
      <w:r>
        <w:rPr>
          <w:rFonts w:ascii="Arial" w:hAnsi="Arial"/>
          <w:b/>
          <w:color w:val="0D3B66"/>
          <w:sz w:val="28"/>
        </w:rPr>
        <w:t>3. EXCEPTION HANDLING</w:t>
      </w:r>
    </w:p>
    <w:p>
      <w:pPr>
        <w:spacing w:after="160"/>
      </w:pPr>
      <w:r>
        <w:t>This section documents the different types of exceptions that may occur during process execution and how they should be handled.</w:t>
      </w:r>
    </w:p>
    <w:p>
      <w:pPr>
        <w:spacing w:before="240" w:after="120"/>
        <w:jc w:val="left"/>
      </w:pPr>
      <w:r>
        <w:rPr>
          <w:rFonts w:ascii="Arial" w:hAnsi="Arial"/>
          <w:b/>
          <w:color w:val="0D3B66"/>
          <w:sz w:val="24"/>
        </w:rPr>
        <w:t>3.1 KNOWN EXCEPTIONS</w:t>
      </w:r>
    </w:p>
    <w:p>
      <w:pPr>
        <w:spacing w:after="160"/>
      </w:pPr>
      <w:r>
        <w:t>The following table lists process exceptions that have been identified and their corresponding handling procedures: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4F81BD"/>
          </w:tcPr>
          <w:p>
            <w:pPr>
              <w:spacing w:before="80" w:after="80"/>
              <w:jc w:val="center"/>
            </w:pPr>
            <w:r>
              <w:rPr>
                <w:b/>
              </w:rPr>
              <w:t>Exception Code</w:t>
            </w:r>
          </w:p>
        </w:tc>
        <w:tc>
          <w:tcPr>
            <w:tcW w:type="dxa" w:w="4320"/>
            <w:shd w:fill="4F81BD"/>
          </w:tcPr>
          <w:p>
            <w:pPr>
              <w:spacing w:before="80" w:after="80"/>
              <w:jc w:val="center"/>
            </w:pPr>
            <w:r>
              <w:rPr>
                <w:b/>
              </w:rPr>
              <w:t>Description</w:t>
            </w:r>
          </w:p>
        </w:tc>
        <w:tc>
          <w:tcPr>
            <w:tcW w:type="dxa" w:w="3600"/>
            <w:shd w:fill="4F81BD"/>
          </w:tcPr>
          <w:p>
            <w:pPr>
              <w:spacing w:before="80" w:after="80"/>
              <w:jc w:val="center"/>
            </w:pPr>
            <w:r>
              <w:rPr>
                <w:b/>
              </w:rPr>
              <w:t>Handling Action</w:t>
            </w:r>
          </w:p>
        </w:tc>
      </w:tr>
      <w:tr>
        <w:tc>
          <w:tcPr>
            <w:tcW w:type="dxa" w:w="2160"/>
          </w:tcPr>
          <w:p>
            <w:pPr>
              <w:spacing w:before="80" w:after="80"/>
            </w:pPr>
            <w:r>
              <w:t>EXC_001</w:t>
            </w:r>
          </w:p>
        </w:tc>
        <w:tc>
          <w:tcPr>
            <w:tcW w:type="dxa" w:w="4320"/>
          </w:tcPr>
          <w:p>
            <w:pPr>
              <w:spacing w:before="80" w:after="80"/>
            </w:pPr>
            <w:r/>
          </w:p>
        </w:tc>
        <w:tc>
          <w:tcPr>
            <w:tcW w:type="dxa" w:w="3600"/>
          </w:tcPr>
          <w:p>
            <w:pPr>
              <w:spacing w:before="80" w:after="80"/>
            </w:pPr>
            <w:r/>
          </w:p>
        </w:tc>
      </w:tr>
      <w:tr>
        <w:tc>
          <w:tcPr>
            <w:tcW w:type="dxa" w:w="2160"/>
          </w:tcPr>
          <w:p>
            <w:pPr>
              <w:spacing w:before="80" w:after="80"/>
            </w:pPr>
            <w:r>
              <w:t>EXC_002</w:t>
            </w:r>
          </w:p>
        </w:tc>
        <w:tc>
          <w:tcPr>
            <w:tcW w:type="dxa" w:w="4320"/>
          </w:tcPr>
          <w:p>
            <w:pPr>
              <w:spacing w:before="80" w:after="80"/>
            </w:pPr>
            <w:r/>
          </w:p>
        </w:tc>
        <w:tc>
          <w:tcPr>
            <w:tcW w:type="dxa" w:w="3600"/>
          </w:tcPr>
          <w:p>
            <w:pPr>
              <w:spacing w:before="80" w:after="80"/>
            </w:pPr>
            <w:r/>
          </w:p>
        </w:tc>
      </w:tr>
      <w:tr>
        <w:tc>
          <w:tcPr>
            <w:tcW w:type="dxa" w:w="2160"/>
          </w:tcPr>
          <w:p>
            <w:pPr>
              <w:spacing w:before="80" w:after="80"/>
            </w:pPr>
            <w:r>
              <w:t>EXC_003</w:t>
            </w:r>
          </w:p>
        </w:tc>
        <w:tc>
          <w:tcPr>
            <w:tcW w:type="dxa" w:w="4320"/>
          </w:tcPr>
          <w:p>
            <w:pPr>
              <w:spacing w:before="80" w:after="80"/>
            </w:pPr>
            <w:r/>
          </w:p>
        </w:tc>
        <w:tc>
          <w:tcPr>
            <w:tcW w:type="dxa" w:w="3600"/>
          </w:tcPr>
          <w:p>
            <w:pPr>
              <w:spacing w:before="80" w:after="80"/>
            </w:pPr>
            <w:r/>
          </w:p>
        </w:tc>
      </w:tr>
    </w:tbl>
    <w:p/>
    <w:p>
      <w:pPr>
        <w:spacing w:before="240" w:after="120"/>
        <w:jc w:val="left"/>
      </w:pPr>
      <w:r>
        <w:rPr>
          <w:rFonts w:ascii="Arial" w:hAnsi="Arial"/>
          <w:b/>
          <w:color w:val="0D3B66"/>
          <w:sz w:val="24"/>
        </w:rPr>
        <w:t>3.2 UNKNOWN EXCEPTIONS</w:t>
      </w:r>
    </w:p>
    <w:p>
      <w:pPr>
        <w:spacing w:after="160"/>
      </w:pPr>
      <w:r>
        <w:t>Unknown exceptions are errors that may occur during processing that were not previously identified. These will be logged and escalated according to the standard exception handling procedure.</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4F81BD"/>
          </w:tcPr>
          <w:p>
            <w:pPr>
              <w:spacing w:before="80" w:after="80"/>
              <w:jc w:val="center"/>
            </w:pPr>
            <w:r>
              <w:rPr>
                <w:b/>
              </w:rPr>
              <w:t>Exception Code</w:t>
            </w:r>
          </w:p>
        </w:tc>
        <w:tc>
          <w:tcPr>
            <w:tcW w:type="dxa" w:w="4320"/>
            <w:shd w:fill="4F81BD"/>
          </w:tcPr>
          <w:p>
            <w:pPr>
              <w:spacing w:before="80" w:after="80"/>
              <w:jc w:val="center"/>
            </w:pPr>
            <w:r>
              <w:rPr>
                <w:b/>
              </w:rPr>
              <w:t>Description</w:t>
            </w:r>
          </w:p>
        </w:tc>
        <w:tc>
          <w:tcPr>
            <w:tcW w:type="dxa" w:w="3600"/>
            <w:shd w:fill="4F81BD"/>
          </w:tcPr>
          <w:p>
            <w:pPr>
              <w:spacing w:before="80" w:after="80"/>
              <w:jc w:val="center"/>
            </w:pPr>
            <w:r>
              <w:rPr>
                <w:b/>
              </w:rPr>
              <w:t>Handling Action</w:t>
            </w:r>
          </w:p>
        </w:tc>
      </w:tr>
      <w:tr>
        <w:tc>
          <w:tcPr>
            <w:tcW w:type="dxa" w:w="2160"/>
          </w:tcPr>
          <w:p>
            <w:pPr>
              <w:spacing w:before="80" w:after="80"/>
            </w:pPr>
            <w:r>
              <w:t>ERR_UNKNOWN</w:t>
            </w:r>
          </w:p>
        </w:tc>
        <w:tc>
          <w:tcPr>
            <w:tcW w:type="dxa" w:w="4320"/>
          </w:tcPr>
          <w:p>
            <w:pPr>
              <w:spacing w:before="80" w:after="80"/>
            </w:pPr>
            <w:r>
              <w:t>Unexpected system error</w:t>
            </w:r>
          </w:p>
        </w:tc>
        <w:tc>
          <w:tcPr>
            <w:tcW w:type="dxa" w:w="3600"/>
          </w:tcPr>
          <w:p>
            <w:pPr>
              <w:spacing w:before="80" w:after="80"/>
            </w:pPr>
            <w:r>
              <w:t>Log error, notify support team</w:t>
            </w:r>
          </w:p>
        </w:tc>
      </w:tr>
      <w:tr>
        <w:tc>
          <w:tcPr>
            <w:tcW w:type="dxa" w:w="2160"/>
          </w:tcPr>
          <w:p>
            <w:pPr>
              <w:spacing w:before="80" w:after="80"/>
            </w:pPr>
            <w:r>
              <w:t>ERR_TIMEOUT</w:t>
            </w:r>
          </w:p>
        </w:tc>
        <w:tc>
          <w:tcPr>
            <w:tcW w:type="dxa" w:w="4320"/>
          </w:tcPr>
          <w:p>
            <w:pPr>
              <w:spacing w:before="80" w:after="80"/>
            </w:pPr>
            <w:r>
              <w:t>Application timeout</w:t>
            </w:r>
          </w:p>
        </w:tc>
        <w:tc>
          <w:tcPr>
            <w:tcW w:type="dxa" w:w="3600"/>
          </w:tcPr>
          <w:p>
            <w:pPr>
              <w:spacing w:before="80" w:after="80"/>
            </w:pPr>
            <w:r>
              <w:t>Retry operation, escalate if persistent</w:t>
            </w:r>
          </w:p>
        </w:tc>
      </w:tr>
    </w:tbl>
    <w:p/>
    <w:p>
      <w:r>
        <w:br w:type="page"/>
      </w:r>
    </w:p>
    <w:p>
      <w:pPr>
        <w:spacing w:before="0" w:after="120"/>
        <w:jc w:val="left"/>
      </w:pPr>
      <w:r>
        <w:rPr>
          <w:rFonts w:ascii="Arial" w:hAnsi="Arial"/>
          <w:b/>
          <w:color w:val="0D3B66"/>
          <w:sz w:val="28"/>
        </w:rPr>
        <w:t>4. STEP-BY-STEP PROCESS DOCUMENTATION</w:t>
      </w:r>
    </w:p>
    <w:p>
      <w:pPr>
        <w:spacing w:after="160"/>
      </w:pPr>
      <w:r>
        <w:t>This section provides detailed step-by-step documentation of the process, including screenshots captured during process execution.</w:t>
      </w:r>
    </w:p>
    <w:p>
      <w:pPr>
        <w:spacing w:before="240" w:after="120"/>
        <w:jc w:val="left"/>
      </w:pPr>
      <w:r>
        <w:rPr>
          <w:rFonts w:ascii="Arial" w:hAnsi="Arial"/>
          <w:b/>
          <w:color w:val="0D3B66"/>
          <w:sz w:val="24"/>
        </w:rPr>
        <w:t>4.1 DETAILED PROCESS STEPS</w:t>
      </w:r>
    </w:p>
    <w:p>
      <w:pPr>
        <w:spacing w:before="320"/>
      </w:pPr>
      <w:r>
        <w:rPr>
          <w:b/>
          <w:sz w:val="22"/>
        </w:rPr>
        <w:t>Step 1</w:t>
      </w:r>
    </w:p>
    <w:p>
      <w:pPr>
        <w:spacing w:after="16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1504_94.00.jpg"/>
                    <pic:cNvPicPr/>
                  </pic:nvPicPr>
                  <pic:blipFill>
                    <a:blip r:embed="rId10"/>
                    <a:stretch>
                      <a:fillRect/>
                    </a:stretch>
                  </pic:blipFill>
                  <pic:spPr>
                    <a:xfrm>
                      <a:off x="0" y="0"/>
                      <a:ext cx="5029200" cy="2828925"/>
                    </a:xfrm>
                    <a:prstGeom prst="rect"/>
                  </pic:spPr>
                </pic:pic>
              </a:graphicData>
            </a:graphic>
          </wp:inline>
        </w:drawing>
      </w:r>
    </w:p>
    <w:p>
      <w:pPr>
        <w:spacing w:after="240"/>
      </w:pPr>
      <w:r>
        <w:t>Here are the converted professional step descriptions:</w:t>
      </w:r>
    </w:p>
    <w:p>
      <w:pPr>
        <w:spacing w:after="160"/>
      </w:pPr>
    </w:p>
    <w:p>
      <w:pPr>
        <w:spacing w:before="320"/>
      </w:pPr>
      <w:r>
        <w:rPr>
          <w:b/>
          <w:sz w:val="22"/>
        </w:rPr>
        <w:t>Step 2</w:t>
      </w:r>
    </w:p>
    <w:p>
      <w:pPr>
        <w:spacing w:after="16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4864_304.00.jpg"/>
                    <pic:cNvPicPr/>
                  </pic:nvPicPr>
                  <pic:blipFill>
                    <a:blip r:embed="rId11"/>
                    <a:stretch>
                      <a:fillRect/>
                    </a:stretch>
                  </pic:blipFill>
                  <pic:spPr>
                    <a:xfrm>
                      <a:off x="0" y="0"/>
                      <a:ext cx="5029200" cy="2828925"/>
                    </a:xfrm>
                    <a:prstGeom prst="rect"/>
                  </pic:spPr>
                </pic:pic>
              </a:graphicData>
            </a:graphic>
          </wp:inline>
        </w:drawing>
      </w:r>
    </w:p>
    <w:p>
      <w:pPr>
        <w:spacing w:after="240"/>
      </w:pPr>
      <w:r>
        <w:t>The system administrator initiates a comprehensive scan of all servers to detect and identify missing patches or updates.</w:t>
      </w:r>
    </w:p>
    <w:p>
      <w:pPr>
        <w:spacing w:after="160"/>
      </w:pPr>
    </w:p>
    <w:p>
      <w:pPr>
        <w:spacing w:before="320"/>
      </w:pPr>
      <w:r>
        <w:rPr>
          <w:b/>
          <w:sz w:val="22"/>
        </w:rPr>
        <w:t>Step 3</w:t>
      </w:r>
    </w:p>
    <w:p>
      <w:pPr>
        <w:spacing w:after="160"/>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6384_399.00.jpg"/>
                    <pic:cNvPicPr/>
                  </pic:nvPicPr>
                  <pic:blipFill>
                    <a:blip r:embed="rId12"/>
                    <a:stretch>
                      <a:fillRect/>
                    </a:stretch>
                  </pic:blipFill>
                  <pic:spPr>
                    <a:xfrm>
                      <a:off x="0" y="0"/>
                      <a:ext cx="5029200" cy="2828925"/>
                    </a:xfrm>
                    <a:prstGeom prst="rect"/>
                  </pic:spPr>
                </pic:pic>
              </a:graphicData>
            </a:graphic>
          </wp:inline>
        </w:drawing>
      </w:r>
    </w:p>
    <w:p>
      <w:pPr>
        <w:spacing w:after="240"/>
      </w:pPr>
      <w:r>
        <w:t>The user must determine which servers require deployment worker scanning, in order to proceed with the process efficiently.</w:t>
      </w:r>
    </w:p>
    <w:p>
      <w:pPr>
        <w:spacing w:after="160"/>
      </w:pPr>
    </w:p>
    <w:p>
      <w:pPr>
        <w:spacing w:before="320"/>
      </w:pPr>
      <w:r>
        <w:rPr>
          <w:b/>
          <w:sz w:val="22"/>
        </w:rPr>
        <w:t>Step 4</w:t>
      </w:r>
    </w:p>
    <w:p>
      <w:pPr>
        <w:spacing w:after="160"/>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rame_9664_604.00.jpg"/>
                    <pic:cNvPicPr/>
                  </pic:nvPicPr>
                  <pic:blipFill>
                    <a:blip r:embed="rId13"/>
                    <a:stretch>
                      <a:fillRect/>
                    </a:stretch>
                  </pic:blipFill>
                  <pic:spPr>
                    <a:xfrm>
                      <a:off x="0" y="0"/>
                      <a:ext cx="5029200" cy="2828925"/>
                    </a:xfrm>
                    <a:prstGeom prst="rect"/>
                  </pic:spPr>
                </pic:pic>
              </a:graphicData>
            </a:graphic>
          </wp:inline>
        </w:drawing>
      </w:r>
    </w:p>
    <w:p>
      <w:pPr>
        <w:spacing w:after="240"/>
      </w:pPr>
      <w:r>
        <w:t>The administrator specifies the relevant database tables for mapping purposes, configuring the necessary parameters.</w:t>
      </w:r>
    </w:p>
    <w:p>
      <w:pPr>
        <w:spacing w:after="160"/>
      </w:pPr>
    </w:p>
    <w:p>
      <w:pPr>
        <w:spacing w:before="320"/>
      </w:pPr>
      <w:r>
        <w:rPr>
          <w:b/>
          <w:sz w:val="22"/>
        </w:rPr>
        <w:t>Step 5</w:t>
      </w:r>
    </w:p>
    <w:p>
      <w:pPr>
        <w:spacing w:after="160"/>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frame_12960_810.00.jpg"/>
                    <pic:cNvPicPr/>
                  </pic:nvPicPr>
                  <pic:blipFill>
                    <a:blip r:embed="rId14"/>
                    <a:stretch>
                      <a:fillRect/>
                    </a:stretch>
                  </pic:blipFill>
                  <pic:spPr>
                    <a:xfrm>
                      <a:off x="0" y="0"/>
                      <a:ext cx="5029200" cy="2828925"/>
                    </a:xfrm>
                    <a:prstGeom prst="rect"/>
                  </pic:spPr>
                </pic:pic>
              </a:graphicData>
            </a:graphic>
          </wp:inline>
        </w:drawing>
      </w:r>
    </w:p>
    <w:p>
      <w:pPr>
        <w:spacing w:after="240"/>
      </w:pPr>
      <w:r>
        <w:t>The individual enters their password for a standard account that has been assigned the required privileges and access rights.</w:t>
      </w:r>
    </w:p>
    <w:p>
      <w:pPr>
        <w:spacing w:after="160"/>
      </w:pPr>
    </w:p>
    <w:p>
      <w:pPr>
        <w:spacing w:before="320"/>
      </w:pPr>
      <w:r>
        <w:rPr>
          <w:b/>
          <w:sz w:val="22"/>
        </w:rPr>
        <w:t>Step 6</w:t>
      </w:r>
    </w:p>
    <w:p>
      <w:pPr>
        <w:spacing w:after="160"/>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frame_13808_863.00.jpg"/>
                    <pic:cNvPicPr/>
                  </pic:nvPicPr>
                  <pic:blipFill>
                    <a:blip r:embed="rId15"/>
                    <a:stretch>
                      <a:fillRect/>
                    </a:stretch>
                  </pic:blipFill>
                  <pic:spPr>
                    <a:xfrm>
                      <a:off x="0" y="0"/>
                      <a:ext cx="5029200" cy="2828925"/>
                    </a:xfrm>
                    <a:prstGeom prst="rect"/>
                  </pic:spPr>
                </pic:pic>
              </a:graphicData>
            </a:graphic>
          </wp:inline>
        </w:drawing>
      </w:r>
    </w:p>
    <w:p>
      <w:pPr>
        <w:spacing w:after="240"/>
      </w:pPr>
      <w:r>
        <w:t>The user navigates through the system to review predefined groups and related settings, as configured by the administrator.</w:t>
      </w:r>
    </w:p>
    <w:p>
      <w:pPr>
        <w:spacing w:after="160"/>
      </w:pPr>
    </w:p>
    <w:p>
      <w:pPr>
        <w:spacing w:before="320"/>
      </w:pPr>
      <w:r>
        <w:rPr>
          <w:b/>
          <w:sz w:val="22"/>
        </w:rPr>
        <w:t>Step 7</w:t>
      </w:r>
    </w:p>
    <w:p>
      <w:pPr>
        <w:spacing w:after="160"/>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frame_15760_985.00.jpg"/>
                    <pic:cNvPicPr/>
                  </pic:nvPicPr>
                  <pic:blipFill>
                    <a:blip r:embed="rId16"/>
                    <a:stretch>
                      <a:fillRect/>
                    </a:stretch>
                  </pic:blipFill>
                  <pic:spPr>
                    <a:xfrm>
                      <a:off x="0" y="0"/>
                      <a:ext cx="5029200" cy="2828925"/>
                    </a:xfrm>
                    <a:prstGeom prst="rect"/>
                  </pic:spPr>
                </pic:pic>
              </a:graphicData>
            </a:graphic>
          </wp:inline>
        </w:drawing>
      </w:r>
    </w:p>
    <w:p>
      <w:pPr>
        <w:spacing w:after="240"/>
      </w:pPr>
      <w:r>
        <w:t>Note: I corrected "Eventy" to "system administrator", assuming it was a transcription error. Also, I changed "key action" to more descriptive verbs like "initiates", "determine", "specifies", etc. to make the language more concise and professional.</w:t>
      </w:r>
    </w:p>
    <w:p>
      <w:pPr>
        <w:spacing w:after="160"/>
      </w:pPr>
    </w:p>
    <w:p>
      <w:pPr>
        <w:spacing w:before="320"/>
      </w:pPr>
      <w:r>
        <w:rPr>
          <w:b/>
          <w:sz w:val="22"/>
        </w:rPr>
        <w:t>Step 8</w:t>
      </w:r>
    </w:p>
    <w:p>
      <w:pPr>
        <w:spacing w:after="160"/>
        <w:jc w:val="center"/>
      </w:pP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frame_18096_1131.00.jpg"/>
                    <pic:cNvPicPr/>
                  </pic:nvPicPr>
                  <pic:blipFill>
                    <a:blip r:embed="rId17"/>
                    <a:stretch>
                      <a:fillRect/>
                    </a:stretch>
                  </pic:blipFill>
                  <pic:spPr>
                    <a:xfrm>
                      <a:off x="0" y="0"/>
                      <a:ext cx="5029200" cy="2828925"/>
                    </a:xfrm>
                    <a:prstGeom prst="rect"/>
                  </pic:spPr>
                </pic:pic>
              </a:graphicData>
            </a:graphic>
          </wp:inline>
        </w:drawing>
      </w:r>
    </w:p>
    <w:p>
      <w:pPr>
        <w:spacing w:after="240"/>
      </w:pPr>
      <w:r>
        <w:t>Here are the revised step descriptions:</w:t>
      </w:r>
    </w:p>
    <w:p>
      <w:pPr>
        <w:spacing w:after="160"/>
      </w:pPr>
    </w:p>
    <w:p>
      <w:pPr>
        <w:spacing w:before="320"/>
      </w:pPr>
      <w:r>
        <w:rPr>
          <w:b/>
          <w:sz w:val="22"/>
        </w:rPr>
        <w:t>Step 9</w:t>
      </w:r>
    </w:p>
    <w:p>
      <w:pPr>
        <w:spacing w:after="160"/>
        <w:jc w:val="center"/>
      </w:pPr>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frame_23328_1458.00.jpg"/>
                    <pic:cNvPicPr/>
                  </pic:nvPicPr>
                  <pic:blipFill>
                    <a:blip r:embed="rId18"/>
                    <a:stretch>
                      <a:fillRect/>
                    </a:stretch>
                  </pic:blipFill>
                  <pic:spPr>
                    <a:xfrm>
                      <a:off x="0" y="0"/>
                      <a:ext cx="5029200" cy="2828925"/>
                    </a:xfrm>
                    <a:prstGeom prst="rect"/>
                  </pic:spPr>
                </pic:pic>
              </a:graphicData>
            </a:graphic>
          </wp:inline>
        </w:drawing>
      </w:r>
    </w:p>
    <w:p>
      <w:pPr>
        <w:spacing w:after="240"/>
      </w:pPr>
      <w:r>
        <w:t>The user configures development central servers by specifying relevant groups.</w:t>
      </w:r>
    </w:p>
    <w:p>
      <w:pPr>
        <w:spacing w:after="160"/>
      </w:pPr>
    </w:p>
    <w:p>
      <w:pPr>
        <w:spacing w:before="320"/>
      </w:pPr>
      <w:r>
        <w:rPr>
          <w:b/>
          <w:sz w:val="22"/>
        </w:rPr>
        <w:t>Step 10</w:t>
      </w:r>
    </w:p>
    <w:p>
      <w:pPr>
        <w:spacing w:after="160"/>
        <w:jc w:val="center"/>
      </w:pPr>
      <w:r>
        <w:drawing>
          <wp:inline xmlns:a="http://schemas.openxmlformats.org/drawingml/2006/main" xmlns:pic="http://schemas.openxmlformats.org/drawingml/2006/picture">
            <wp:extent cx="5029200" cy="2828925"/>
            <wp:docPr id="11" name="Picture 11"/>
            <wp:cNvGraphicFramePr>
              <a:graphicFrameLocks noChangeAspect="1"/>
            </wp:cNvGraphicFramePr>
            <a:graphic>
              <a:graphicData uri="http://schemas.openxmlformats.org/drawingml/2006/picture">
                <pic:pic>
                  <pic:nvPicPr>
                    <pic:cNvPr id="0" name="frame_25888_1618.00.jpg"/>
                    <pic:cNvPicPr/>
                  </pic:nvPicPr>
                  <pic:blipFill>
                    <a:blip r:embed="rId19"/>
                    <a:stretch>
                      <a:fillRect/>
                    </a:stretch>
                  </pic:blipFill>
                  <pic:spPr>
                    <a:xfrm>
                      <a:off x="0" y="0"/>
                      <a:ext cx="5029200" cy="2828925"/>
                    </a:xfrm>
                    <a:prstGeom prst="rect"/>
                  </pic:spPr>
                </pic:pic>
              </a:graphicData>
            </a:graphic>
          </wp:inline>
        </w:drawing>
      </w:r>
    </w:p>
    <w:p>
      <w:pPr>
        <w:spacing w:after="240"/>
      </w:pPr>
      <w:r>
        <w:t>The user executes a template against a predefined group of users or roles.</w:t>
      </w:r>
    </w:p>
    <w:p>
      <w:pPr>
        <w:spacing w:after="160"/>
      </w:pPr>
    </w:p>
    <w:p>
      <w:pPr>
        <w:spacing w:before="320"/>
      </w:pPr>
      <w:r>
        <w:rPr>
          <w:b/>
          <w:sz w:val="22"/>
        </w:rPr>
        <w:t>Step 11</w:t>
      </w:r>
    </w:p>
    <w:p>
      <w:pPr>
        <w:spacing w:after="160"/>
        <w:jc w:val="center"/>
      </w:pPr>
      <w:r>
        <w:drawing>
          <wp:inline xmlns:a="http://schemas.openxmlformats.org/drawingml/2006/main" xmlns:pic="http://schemas.openxmlformats.org/drawingml/2006/picture">
            <wp:extent cx="5029200" cy="2828925"/>
            <wp:docPr id="12" name="Picture 12"/>
            <wp:cNvGraphicFramePr>
              <a:graphicFrameLocks noChangeAspect="1"/>
            </wp:cNvGraphicFramePr>
            <a:graphic>
              <a:graphicData uri="http://schemas.openxmlformats.org/drawingml/2006/picture">
                <pic:pic>
                  <pic:nvPicPr>
                    <pic:cNvPr id="0" name="frame_29568_1848.00.jpg"/>
                    <pic:cNvPicPr/>
                  </pic:nvPicPr>
                  <pic:blipFill>
                    <a:blip r:embed="rId20"/>
                    <a:stretch>
                      <a:fillRect/>
                    </a:stretch>
                  </pic:blipFill>
                  <pic:spPr>
                    <a:xfrm>
                      <a:off x="0" y="0"/>
                      <a:ext cx="5029200" cy="2828925"/>
                    </a:xfrm>
                    <a:prstGeom prst="rect"/>
                  </pic:spPr>
                </pic:pic>
              </a:graphicData>
            </a:graphic>
          </wp:inline>
        </w:drawing>
      </w:r>
    </w:p>
    <w:p>
      <w:pPr>
        <w:spacing w:after="240"/>
      </w:pPr>
      <w:r>
        <w:t>The system schedules an automated server restart for a specified time.</w:t>
      </w:r>
    </w:p>
    <w:p>
      <w:pPr>
        <w:spacing w:after="160"/>
      </w:pPr>
    </w:p>
    <w:p>
      <w:pPr>
        <w:spacing w:before="320"/>
      </w:pPr>
      <w:r>
        <w:rPr>
          <w:b/>
          <w:sz w:val="22"/>
        </w:rPr>
        <w:t>Step 12</w:t>
      </w:r>
    </w:p>
    <w:p>
      <w:pPr>
        <w:spacing w:after="160"/>
        <w:jc w:val="center"/>
      </w:pPr>
      <w:r>
        <w:drawing>
          <wp:inline xmlns:a="http://schemas.openxmlformats.org/drawingml/2006/main" xmlns:pic="http://schemas.openxmlformats.org/drawingml/2006/picture">
            <wp:extent cx="5029200" cy="2828925"/>
            <wp:docPr id="13" name="Picture 13"/>
            <wp:cNvGraphicFramePr>
              <a:graphicFrameLocks noChangeAspect="1"/>
            </wp:cNvGraphicFramePr>
            <a:graphic>
              <a:graphicData uri="http://schemas.openxmlformats.org/drawingml/2006/picture">
                <pic:pic>
                  <pic:nvPicPr>
                    <pic:cNvPr id="0" name="frame_34256_2141.00.jpg"/>
                    <pic:cNvPicPr/>
                  </pic:nvPicPr>
                  <pic:blipFill>
                    <a:blip r:embed="rId21"/>
                    <a:stretch>
                      <a:fillRect/>
                    </a:stretch>
                  </pic:blipFill>
                  <pic:spPr>
                    <a:xfrm>
                      <a:off x="0" y="0"/>
                      <a:ext cx="5029200" cy="2828925"/>
                    </a:xfrm>
                    <a:prstGeom prst="rect"/>
                  </pic:spPr>
                </pic:pic>
              </a:graphicData>
            </a:graphic>
          </wp:inline>
        </w:drawing>
      </w:r>
    </w:p>
    <w:p>
      <w:pPr>
        <w:spacing w:after="240"/>
      </w:pPr>
      <w:r>
        <w:t>The developer reviews and documents potential failure cases and corresponding remediation actions.</w:t>
      </w:r>
    </w:p>
    <w:p>
      <w:pPr>
        <w:spacing w:after="160"/>
      </w:pPr>
    </w:p>
    <w:p>
      <w:pPr>
        <w:spacing w:before="320"/>
      </w:pPr>
      <w:r>
        <w:rPr>
          <w:b/>
          <w:sz w:val="22"/>
        </w:rPr>
        <w:t>Step 13</w:t>
      </w:r>
    </w:p>
    <w:p>
      <w:pPr>
        <w:spacing w:after="160"/>
        <w:jc w:val="center"/>
      </w:pPr>
      <w:r>
        <w:drawing>
          <wp:inline xmlns:a="http://schemas.openxmlformats.org/drawingml/2006/main" xmlns:pic="http://schemas.openxmlformats.org/drawingml/2006/picture">
            <wp:extent cx="5029200" cy="2828925"/>
            <wp:docPr id="14" name="Picture 14"/>
            <wp:cNvGraphicFramePr>
              <a:graphicFrameLocks noChangeAspect="1"/>
            </wp:cNvGraphicFramePr>
            <a:graphic>
              <a:graphicData uri="http://schemas.openxmlformats.org/drawingml/2006/picture">
                <pic:pic>
                  <pic:nvPicPr>
                    <pic:cNvPr id="0" name="frame_40272_2517.00.jpg"/>
                    <pic:cNvPicPr/>
                  </pic:nvPicPr>
                  <pic:blipFill>
                    <a:blip r:embed="rId22"/>
                    <a:stretch>
                      <a:fillRect/>
                    </a:stretch>
                  </pic:blipFill>
                  <pic:spPr>
                    <a:xfrm>
                      <a:off x="0" y="0"/>
                      <a:ext cx="5029200" cy="2828925"/>
                    </a:xfrm>
                    <a:prstGeom prst="rect"/>
                  </pic:spPr>
                </pic:pic>
              </a:graphicData>
            </a:graphic>
          </wp:inline>
        </w:drawing>
      </w:r>
    </w:p>
    <w:p>
      <w:pPr>
        <w:spacing w:after="240"/>
      </w:pPr>
      <w:r>
        <w:t>The administrator navigates to the deployment records to view deployment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