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Equity Investment Committee Memorandum</w:t>
      </w:r>
    </w:p>
    <w:p>
      <w:r>
        <w:t>Academy Sports + Outdoors — Hypothetical Sponsor LBO</w:t>
      </w:r>
    </w:p>
    <w:p>
      <w:pPr>
        <w:pStyle w:val="Heading1"/>
      </w:pPr>
      <w:r>
        <w:t>Executive Recommendation</w:t>
      </w:r>
    </w:p>
    <w:p>
      <w:r>
        <w:t>Proceed to confirmatory diligence subject to valuation discipline. Base-case returns are driven by EBITDA growth and deleveraging rather than aggressive multiple expansion.</w:t>
      </w:r>
    </w:p>
    <w:p>
      <w:pPr>
        <w:pStyle w:val="Heading1"/>
      </w:pPr>
      <w:r>
        <w:t>Investment Thesis</w:t>
      </w:r>
    </w:p>
    <w:p>
      <w:r>
        <w:t>Scaled specialty retailer with recognizable brand, cash generation, manageable opening leverage and operational upside from store growth, e-commerce and merchandising.</w:t>
      </w:r>
    </w:p>
    <w:p>
      <w:pPr>
        <w:pStyle w:val="Heading1"/>
      </w:pPr>
      <w:r>
        <w:t>Transaction Overview</w:t>
      </w:r>
    </w:p>
    <w:p>
      <w:r>
        <w:t>Illustrative 25% premium, 4.5x opening debt / EBITDA, five-year hold and 6.0x exit multiple.</w:t>
      </w:r>
    </w:p>
    <w:p>
      <w:pPr>
        <w:pStyle w:val="Heading1"/>
      </w:pPr>
      <w:r>
        <w:t>Value Creation Plan</w:t>
      </w:r>
    </w:p>
    <w:p>
      <w:r>
        <w:t>Mid-single-digit revenue growth, modest EBITDA-margin expansion, disciplined capex, working-capital control and full cash sweep.</w:t>
      </w:r>
    </w:p>
    <w:p>
      <w:pPr>
        <w:pStyle w:val="Heading1"/>
      </w:pPr>
      <w:r>
        <w:t>Base Case Returns</w:t>
      </w:r>
    </w:p>
    <w:p>
      <w:r>
        <w:t>Illustrative 2.86x MOIC and 23.4% five-year IRR.</w:t>
      </w:r>
    </w:p>
    <w:p>
      <w:pPr>
        <w:pStyle w:val="Heading1"/>
      </w:pPr>
      <w:r>
        <w:t>Downside Case</w:t>
      </w:r>
    </w:p>
    <w:p>
      <w:r>
        <w:t>Stress slower sales, flat margins, higher interest expense and 5.0x exit multiple.</w:t>
      </w:r>
    </w:p>
    <w:p>
      <w:pPr>
        <w:pStyle w:val="Heading1"/>
      </w:pPr>
      <w:r>
        <w:t>Key Risks</w:t>
      </w:r>
    </w:p>
    <w:p>
      <w:r>
        <w:t>Consumer cyclicality, tariffs and sourcing, inventory execution, leverage, rates and exit valuation.</w:t>
      </w:r>
    </w:p>
    <w:p>
      <w:pPr>
        <w:pStyle w:val="Heading1"/>
      </w:pPr>
      <w:r>
        <w:t>Diligence Priorities</w:t>
      </w:r>
    </w:p>
    <w:p>
      <w:r>
        <w:t>Store-level economics, cohort performance, gross-margin bridge, inventory aging, lease obligations, sourcing concentration, management depth and debt capacity.</w:t>
      </w:r>
    </w:p>
    <w:p>
      <w:pPr>
        <w:pStyle w:val="Heading1"/>
      </w:pPr>
      <w:r>
        <w:t>IC Decision</w:t>
      </w:r>
    </w:p>
    <w:p>
      <w:r>
        <w:t>Attractive educational LBO case if operating assumptions prove defensible; downside protection and debt-service capacity remain central.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