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RESQ AI — UI/UX ENGINEER CHANGE SHEET</w:t>
      </w:r>
    </w:p>
    <w:p>
      <w:pPr>
        <w:jc w:val="center"/>
      </w:pPr>
      <w:r>
        <w:rPr>
          <w:i/>
          <w:sz w:val="16"/>
        </w:rPr>
        <w:t>Concise checklist from RESQ_AI_UI_UX_OPTIMIZATION_SPECIFICATION.md</w:t>
      </w:r>
    </w:p>
    <w:p>
      <w:r>
        <w:rPr>
          <w:b/>
        </w:rPr>
        <w:t xml:space="preserve">Scope: </w:t>
      </w:r>
      <w:r>
        <w:t>UI/UX and presentation only. Preserve all existing physics, simulation, routing, and business logic.</w:t>
      </w:r>
    </w:p>
    <w:p>
      <w:pPr>
        <w:pStyle w:val="Heading1"/>
      </w:pPr>
      <w:r>
        <w:t>1. Command Center — CommandCenterPage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PAGE / COMPONENT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UI/UX CHANGES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DO NOT CHANGE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Command Header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Fixed high-contrast header: incident/location, dominant hazard, workflow switcher, clock and elapsed timer.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Incident-state logic.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ThreatControlDock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Group inputs into Facility &amp; Asset, Storage, Meteorology &amp; Wind, Scenario Physics. Use numeric steppers where precision matters and sliders for continuous values. Add inline validation.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Parameter calculations/bounds.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Spatial Canvas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Make map/3D twin the visual center; target 60%+ width and 75% height. Reduce panel occlusion.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Map/twin logic.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ThreatTelemetryPanel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Replace many isolated tiles with compact Thermal and Blast groups showing key value, unit and threshold. Put deep calculations behind expansion.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Telemetry calculations.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Response / Explainability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Prominently show Lower Modeled Exposure corridor and explicit rejected-gate reasons.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Route-selection logic.</w:t>
            </w:r>
          </w:p>
        </w:tc>
      </w:tr>
    </w:tbl>
    <w:p>
      <w:pPr>
        <w:pStyle w:val="Heading1"/>
      </w:pPr>
      <w:r>
        <w:t>2. Blueprint Import — BlueprintImportPage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PAGE / COMPONENT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UI/UX CHANGES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DO NOT CHANGE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Workflow Stepper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Clearly show Upload → Analyze → Review → Generate → Simulate.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Pipeline behavior.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BlueprintOverlayCanvas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Keep blueprint visually dominant and make facility/threat overlays clear and readable.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Detection/calculation logic.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DetectionReviewPanel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Clean verification table and scale-calibration UI with clear editable states and validation.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AI detection results.</w:t>
            </w:r>
          </w:p>
        </w:tc>
      </w:tr>
    </w:tbl>
    <w:p>
      <w:pPr>
        <w:pStyle w:val="Heading1"/>
      </w:pPr>
      <w:r>
        <w:t>3. Blueprint Rescue Mission — BlueprintRescueMissionView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PAGE / COMPONENT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UI/UX CHANGES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DO NOT CHANGE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Mission Header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Compact mission status and timer bar.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Mission state transitions.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BlueprintRescueCanvas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Blueprint is the primary canvas. Clearly layer infrastructure, hazard zones, wind/downwind vectors, lower-exposure corridor, casualty pins and emergency vehicles.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Simulation ground truth.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Casualty Triage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Compact P1/P2/P3 roster with severity, survivability countdown and map-pin interaction.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Casualty calculations.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AI / Responder Panels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Right-side cards for responder telemetry, recommended approach and gate rejection rationale. Keep technical details collapsible.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AI/safety logic.</w:t>
            </w:r>
          </w:p>
        </w:tc>
      </w:tr>
    </w:tbl>
    <w:p>
      <w:pPr>
        <w:pStyle w:val="Heading1"/>
      </w:pPr>
      <w:r>
        <w:t>4. Mission Mode — MissionModePage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PAGE / COMPONENT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UI/UX CHANGES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DO NOT CHANGE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CasualtyTriagePanel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Improve scanability of P1/P2/P3 cases, countdowns and map linking.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Triage calculations.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StrategyTradeoffPanel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Clear Suppress First / Balanced / Rescue First selection with concise trade-offs.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Strategy engine.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RouteExplainabilityPanel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Show selected Lower Modeled Exposure route and specific rejection reasons for other gates.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Route evaluation.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ResponderSafetyHUD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Prioritize thermal exposure, blast overpressure, standoff and PPE without clutter.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Safety calculations.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Timeline / Debrief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Compact chronological event log and easy-to-scan final score/debrief.</w:t>
            </w:r>
          </w:p>
        </w:tc>
        <w:tc>
          <w:tcPr>
            <w:tcW w:type="dxa" w:w="3456"/>
            <w:vAlign w:val="top"/>
          </w:tcPr>
          <w:p>
            <w:pPr>
              <w:spacing w:after="20"/>
            </w:pPr>
            <w:r>
              <w:rPr>
                <w:sz w:val="16"/>
              </w:rPr>
              <w:t>Event/scoring logic.</w:t>
            </w:r>
          </w:p>
        </w:tc>
      </w:tr>
    </w:tbl>
    <w:p>
      <w:pPr>
        <w:pStyle w:val="Heading1"/>
      </w:pPr>
      <w:r>
        <w:t>5. Global Visual Rules</w:t>
      </w:r>
    </w:p>
    <w:p>
      <w:pPr>
        <w:pStyle w:val="ListBullet"/>
      </w:pPr>
      <w:r>
        <w:t>Dark, high-contrast command-center theme.</w:t>
      </w:r>
    </w:p>
    <w:p>
      <w:pPr>
        <w:pStyle w:val="ListBullet"/>
      </w:pPr>
      <w:r>
        <w:t>Inter for UI text; JetBrains Mono for numerical values, units and coordinates.</w:t>
      </w:r>
    </w:p>
    <w:p>
      <w:pPr>
        <w:pStyle w:val="ListBullet"/>
      </w:pPr>
      <w:r>
        <w:t>Semantic colors only: Zone 1 red, Zone 2 orange, Zone 3 yellow, Zone 4 green; recommended ingress emerald; rejected routes red; telemetry cyan.</w:t>
      </w:r>
    </w:p>
    <w:p>
      <w:pPr>
        <w:pStyle w:val="ListBullet"/>
      </w:pPr>
      <w:r>
        <w:t>Maximum 3 primary floating docks over the spatial canvas. Avoid decorative animation.</w:t>
      </w:r>
    </w:p>
    <w:p>
      <w:pPr>
        <w:pStyle w:val="ListBullet"/>
      </w:pPr>
      <w:r>
        <w:t>Use progressive disclosure for formulas, sensitivity data and technical/audit details.</w:t>
      </w:r>
    </w:p>
    <w:p>
      <w:pPr>
        <w:pStyle w:val="ListBullet"/>
      </w:pPr>
      <w:r>
        <w:t>Use “Lower Modeled Exposure” rather than implying an absolute guarantee of safety.</w:t>
      </w:r>
    </w:p>
    <w:p>
      <w:pPr>
        <w:pStyle w:val="Heading1"/>
      </w:pPr>
      <w:r>
        <w:t>6. Acceptance Check</w:t>
      </w:r>
    </w:p>
    <w:p>
      <w:r>
        <w:t>☐ Spatial canvas remains dominant and unobstructed.</w:t>
      </w:r>
    </w:p>
    <w:p>
      <w:r>
        <w:t>☐ Zones 1–4 are visually distinguishable.</w:t>
      </w:r>
    </w:p>
    <w:p>
      <w:r>
        <w:t>☐ Numbers, units and status labels are consistently formatted.</w:t>
      </w:r>
    </w:p>
    <w:p>
      <w:r>
        <w:t>☐ Core incident, hazard envelope and recommended approach are understandable within 10 seconds.</w:t>
      </w:r>
    </w:p>
    <w:p>
      <w:r>
        <w:t>☐ Verify 1920×1080, 1440×900 and 1024×768 layouts.</w:t>
      </w:r>
    </w:p>
    <w:p>
      <w:r>
        <w:t>☐ Keyboard focus and contrast work across interactive controls.</w:t>
      </w:r>
    </w:p>
    <w:p>
      <w:r>
        <w:t>☐ 2D Blueprint and 3D Twin remain visually consistent.</w:t>
      </w:r>
    </w:p>
    <w:p>
      <w:r>
        <w:rPr>
          <w:b/>
        </w:rPr>
        <w:t xml:space="preserve">Boundary: </w:t>
      </w:r>
      <w:r>
        <w:t>Do not modify the underlying physics engine, hazard calculations, domino cascade, routing, casualty calculations, or simulation behavior.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