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b/>
          <w:bCs/>
          <w:color w:val="1F3A93"/>
          <w:sz w:val="56"/>
          <w:szCs w:val="56"/>
        </w:rPr>
        <w:t xml:space="preserve">THREAT-ZONE ESTIMATION</w:t>
      </w:r>
    </w:p>
    <w:p>
      <w:pPr>
        <w:spacing w:after="120" w:before="0"/>
        <w:jc w:val="center"/>
      </w:pPr>
      <w:r>
        <w:rPr>
          <w:color w:val="1C1C2E"/>
          <w:sz w:val="32"/>
          <w:szCs w:val="32"/>
        </w:rPr>
        <w:t xml:space="preserve">for Industrial Fire and Explosion Response</w:t>
      </w:r>
    </w:p>
    <w:p>
      <w:pPr>
        <w:spacing w:after="600" w:before="80"/>
        <w:jc w:val="center"/>
      </w:pPr>
      <w:r>
        <w:rPr>
          <w:i/>
          <w:iCs/>
          <w:color w:val="6C757D"/>
          <w:sz w:val="24"/>
          <w:szCs w:val="24"/>
        </w:rPr>
        <w:t xml:space="preserve">Project Blueprint &amp; Technical Documentation</w:t>
      </w:r>
    </w:p>
    <w:p>
      <w:pPr>
        <w:pBdr>
          <w:bottom w:val="single" w:color="CBD5E0" w:sz="4" w:space="1"/>
        </w:pBdr>
        <w:spacing w:after="200" w:before="200"/>
      </w:pPr>
    </w:p>
    <w:p>
      <w:pPr>
        <w:spacing w:after="60" w:before="200"/>
        <w:jc w:val="center"/>
      </w:pPr>
      <w:r>
        <w:rPr>
          <w:color w:val="6C757D"/>
          <w:sz w:val="22"/>
          <w:szCs w:val="22"/>
        </w:rPr>
        <w:t xml:space="preserve">Problem Statement 2 — Disaster Response Track</w:t>
      </w:r>
    </w:p>
    <w:p>
      <w:pPr>
        <w:spacing w:after="60" w:before="0"/>
        <w:jc w:val="center"/>
      </w:pPr>
      <w:r>
        <w:rPr>
          <w:color w:val="6C757D"/>
          <w:sz w:val="22"/>
          <w:szCs w:val="22"/>
        </w:rPr>
        <w:t xml:space="preserve">Hackathon Technical Blueprint  ·  September 2026</w:t>
      </w:r>
    </w:p>
    <w:p>
      <w:pPr>
        <w:pBdr>
          <w:bottom w:val="single" w:color="CBD5E0" w:sz="4" w:space="1"/>
        </w:pBdr>
        <w:spacing w:after="200" w:before="200"/>
      </w:pPr>
    </w:p>
    <w:p>
      <w:pPr>
        <w:spacing w:after="0" w:before="400"/>
      </w:pPr>
    </w:p>
    <w:p>
      <w:pPr>
        <w:pStyle w:val="Heading1"/>
        <w:spacing w:after="160" w:before="300"/>
      </w:pPr>
      <w:r>
        <w:rPr>
          <w:b/>
          <w:bCs/>
          <w:color w:val="1F3A93"/>
          <w:sz w:val="28"/>
          <w:szCs w:val="28"/>
        </w:rPr>
        <w:t xml:space="preserve">1.  Project Overview &amp; Objective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This project computes and visualises wind-dependent hazard zones around an industrial storage facility during a fire or explosion event. Given a facility location, tank geometry, stored substance, and real-time wind conditions, the system produces a graded, directionally asymmetric threat map overlaid on a live geographical map — enabling incident commanders to choose a safe approach direction and establish triage posts at correct distances.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93" w:sz="12"/>
              <w:left w:val="none"/>
              <w:bottom w:val="none"/>
              <w:right w:val="none"/>
            </w:tcBorders>
            <w:shd w:fill="F2F4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3A93"/>
                <w:sz w:val="22"/>
                <w:szCs w:val="22"/>
              </w:rPr>
              <w:t xml:space="preserve">Core Deliverable</w:t>
            </w:r>
          </w:p>
          <w:p>
            <w:pPr>
              <w:spacing w:after="0" w:before="0"/>
            </w:pPr>
            <w:r>
              <w:rPr>
                <w:color w:val="1C1C2E"/>
                <w:sz w:val="22"/>
                <w:szCs w:val="22"/>
              </w:rPr>
              <w:t xml:space="preserve">An interactive web application that takes facility inputs + wind vector and outputs a real map overlay with at least four graded severity bands. Two preconfigured facility scenarios demonstrate how tank geometry and substance type produce fundamentally different zone geometries.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1.1  What Makes This Non-Trivial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A fixed-radius circle drawn on a map is not a solution. The problem requires three compounding layers of physics and geometry: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Thermal radiation falls off as 1/r² from a point source, but the fireball/pool-fire geometry is extended, not a point.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Blast overpressure decays following a cube-root scaling law (Hopkinson–Cranz). Peak side-on overpressure depends on scaled distance.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Wind advects and diffuses combustion products and heat flux anisotropically — zones elongate downwind and compress upwind, governed by a Gaussian plume kernel.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The two hazard types (thermal + blast) have different spatial decay rates and different consequence thresholds, so overlapping them correctly requires separate models then a union.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1.2  Judging Criteria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536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We Meet It</w:t>
            </w:r>
          </w:p>
        </w:tc>
      </w:tr>
      <w:tr>
        <w:tc>
          <w:tcPr>
            <w:tcW w:type="dxa" w:w="40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Implemented physics model you can defend</w:t>
            </w:r>
          </w:p>
        </w:tc>
        <w:tc>
          <w:tcPr>
            <w:tcW w:type="dxa" w:w="53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Solid-flame + point-source thermal model; TNT-equiv. blast model — both derived from published SFPE/API standards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Wind-dependent zone geometry</w:t>
            </w:r>
          </w:p>
        </w:tc>
        <w:tc>
          <w:tcPr>
            <w:tcW w:type="dxa" w:w="5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Gaussian plume wind kernel deforms all zone ellipses analytically; exposed via wind speed + direction inputs</w:t>
            </w:r>
          </w:p>
        </w:tc>
      </w:tr>
      <w:tr>
        <w:tc>
          <w:tcPr>
            <w:tcW w:type="dxa" w:w="40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≥3 graded severity bands</w:t>
            </w:r>
          </w:p>
        </w:tc>
        <w:tc>
          <w:tcPr>
            <w:tcW w:type="dxa" w:w="53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Four bands: Lethal / Serious / Injury / Awareness — each with distinct thermal and blast thresholds</w:t>
            </w:r>
          </w:p>
        </w:tc>
      </w:tr>
      <w:tr>
        <w:tc>
          <w:tcPr>
            <w:tcW w:type="dxa" w:w="4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Zones on an actual map</w:t>
            </w:r>
          </w:p>
        </w:tc>
        <w:tc>
          <w:tcPr>
            <w:tcW w:type="dxa" w:w="53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Mapbox GL JS renders polygon overlays at real GPS coordinates</w:t>
            </w:r>
          </w:p>
        </w:tc>
      </w:tr>
      <w:tr>
        <w:tc>
          <w:tcPr>
            <w:tcW w:type="dxa" w:w="40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Two facility configurations explained</w:t>
            </w:r>
          </w:p>
        </w:tc>
        <w:tc>
          <w:tcPr>
            <w:tcW w:type="dxa" w:w="53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LPG sphere (pressure vessel BLEVE) vs. diesel IBC farm (pool fire) — radically different TNT equiv. and fireball geometry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3A93"/>
          <w:sz w:val="28"/>
          <w:szCs w:val="28"/>
        </w:rPr>
        <w:t xml:space="preserve">2.  Physics Model (Defensible Derivations)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All models are traceable to peer-reviewed standards. We use simplified-but-correct analytical forms — no black boxes, no lookup-table interpolation without basis.</w:t>
      </w: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2.1  Thermal Radiation Model — Solid Flame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Source:  </w:t>
      </w:r>
      <w:r>
        <w:rPr>
          <w:color w:val="1C1C2E"/>
          <w:sz w:val="22"/>
          <w:szCs w:val="22"/>
        </w:rPr>
        <w:t xml:space="preserve">SFPE Handbook of Fire Protection Engineering, 5th ed., Chapter 62 (Solid Flame Model).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The model treats the flame as a solid cylinder (pool fire) or sphere (fireball/BLEVE) with a surface emissive power (SEP). Incident flux at a receptor is: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F3A93"/>
          <w:sz w:val="26"/>
          <w:szCs w:val="26"/>
        </w:rPr>
        <w:t xml:space="preserve">E = SEP × F × τ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E</w:t>
      </w:r>
      <w:r>
        <w:rPr>
          <w:color w:val="1C1C2E"/>
          <w:sz w:val="22"/>
          <w:szCs w:val="22"/>
        </w:rPr>
        <w:t xml:space="preserve"> = incident thermal flux (kW/m²) at receptor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SEP</w:t>
      </w:r>
      <w:r>
        <w:rPr>
          <w:color w:val="1C1C2E"/>
          <w:sz w:val="22"/>
          <w:szCs w:val="22"/>
        </w:rPr>
        <w:t xml:space="preserve"> = surface emissive power (kW/m²) — fuel-dependent constant (e.g. LPG fireball ≈ 150–200 kW/m²; diesel pool fire ≈ 35–60 kW/m²)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F</w:t>
      </w:r>
      <w:r>
        <w:rPr>
          <w:color w:val="1C1C2E"/>
          <w:sz w:val="22"/>
          <w:szCs w:val="22"/>
        </w:rPr>
        <w:t xml:space="preserve"> = geometric view factor (dimensionless) — fraction of hemispheric radiation intercepted by a vertical target at distance r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τ</w:t>
      </w:r>
      <w:r>
        <w:rPr>
          <w:color w:val="1C1C2E"/>
          <w:sz w:val="22"/>
          <w:szCs w:val="22"/>
        </w:rPr>
        <w:t xml:space="preserve"> = atmospheric transmissivity = exp(−0.09 × r^0.5) — empirical Moorhouse correlation for humid air</w:t>
      </w:r>
    </w:p>
    <w:p>
      <w:pPr>
        <w:spacing w:after="0" w:before="120"/>
      </w:pP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View factor for a cylinder (pool fire):</w:t>
      </w:r>
      <w:r>
        <w:rPr>
          <w:color w:val="1C1C2E"/>
          <w:sz w:val="22"/>
          <w:szCs w:val="22"/>
        </w:rPr>
        <w:t xml:space="preserve">  F_cyl = (1/π) × [ arctan((L−z)/(r·√(1+r²/(H²)))) + ... ]  — full expression in Muñoz et al. (2004)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View factor for a sphere (fireball):</w:t>
      </w:r>
      <w:r>
        <w:rPr>
          <w:color w:val="1C1C2E"/>
          <w:sz w:val="22"/>
          <w:szCs w:val="22"/>
        </w:rPr>
        <w:t xml:space="preserve">  F_sphere = (D/2r)²  — point-source approximation valid at r &gt; 3D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93" w:sz="12"/>
              <w:left w:val="none"/>
              <w:bottom w:val="none"/>
              <w:right w:val="none"/>
            </w:tcBorders>
            <w:shd w:fill="F2F4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3A93"/>
                <w:sz w:val="22"/>
                <w:szCs w:val="22"/>
              </w:rPr>
              <w:t xml:space="preserve">Why this model, not Raj 1979 or point-source?</w:t>
            </w:r>
          </w:p>
          <w:p>
            <w:pPr>
              <w:spacing w:after="0" w:before="0"/>
            </w:pPr>
            <w:r>
              <w:rPr>
                <w:color w:val="1C1C2E"/>
                <w:sz w:val="22"/>
                <w:szCs w:val="22"/>
              </w:rPr>
              <w:t xml:space="preserve">Point-source thermal models (E = Q_rad / 4πr²) over-predict flux at close range and under-predict at intermediate range because they ignore flame geometry. Solid flame with a correct view factor is the industry standard for fire consequence analysis (CCPS, API 2001-2E). We can defend every parameter.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2.2  Blast Overpressure Model — TNT Equivalence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Source:  </w:t>
      </w:r>
      <w:r>
        <w:rPr>
          <w:color w:val="1C1C2E"/>
          <w:sz w:val="22"/>
          <w:szCs w:val="22"/>
        </w:rPr>
        <w:t xml:space="preserve">Baker et al. (1983) Explosion Hazards and Evaluation; Kinney &amp; Graham (1985) Explosive Shocks in Air.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For a BLEVE or VCE, we convert stored energy to a TNT-equivalent mass, then use the Hopkinson–Cranz cube-root scaling law: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b/>
          <w:bCs/>
          <w:i/>
          <w:iCs/>
          <w:color w:val="1F3A93"/>
          <w:sz w:val="26"/>
          <w:szCs w:val="26"/>
        </w:rPr>
        <w:t xml:space="preserve">Z = r / W^(1/3)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Z</w:t>
      </w:r>
      <w:r>
        <w:rPr>
          <w:color w:val="1C1C2E"/>
          <w:sz w:val="22"/>
          <w:szCs w:val="22"/>
        </w:rPr>
        <w:t xml:space="preserve"> = scaled distance (m/kg^⅓)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r</w:t>
      </w:r>
      <w:r>
        <w:rPr>
          <w:color w:val="1C1C2E"/>
          <w:sz w:val="22"/>
          <w:szCs w:val="22"/>
        </w:rPr>
        <w:t xml:space="preserve"> = standoff distance (m) from explosion centre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W</w:t>
      </w:r>
      <w:r>
        <w:rPr>
          <w:color w:val="1C1C2E"/>
          <w:sz w:val="22"/>
          <w:szCs w:val="22"/>
        </w:rPr>
        <w:t xml:space="preserve"> = TNT-equivalent mass (kg) = stored_energy × η / E_TNT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η</w:t>
      </w:r>
      <w:r>
        <w:rPr>
          <w:color w:val="1C1C2E"/>
          <w:sz w:val="22"/>
          <w:szCs w:val="22"/>
        </w:rPr>
        <w:t xml:space="preserve"> = yield fraction — 0.03–0.05 for VCE (congested), 0.07–0.15 for BLEVE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E_TNT</w:t>
      </w:r>
      <w:r>
        <w:rPr>
          <w:color w:val="1C1C2E"/>
          <w:sz w:val="22"/>
          <w:szCs w:val="22"/>
        </w:rPr>
        <w:t xml:space="preserve"> = 4.52 MJ/kg (specific energy of TNT)</w:t>
      </w:r>
    </w:p>
    <w:p>
      <w:pPr>
        <w:spacing w:after="0" w:before="120"/>
      </w:pPr>
    </w:p>
    <w:p>
      <w:pPr>
        <w:spacing w:after="120" w:before="80"/>
      </w:pPr>
      <w:r>
        <w:rPr>
          <w:color w:val="1C1C2E"/>
          <w:sz w:val="22"/>
          <w:szCs w:val="22"/>
        </w:rPr>
        <w:t xml:space="preserve">Peak side-on overpressure is then read from the Kingery–Bulmash polynomial fit (compiled by Kinney &amp; Graham):</w:t>
      </w:r>
    </w:p>
    <w:p>
      <w:pPr>
        <w:spacing w:after="80" w:before="80"/>
        <w:jc w:val="center"/>
      </w:pPr>
      <w:r>
        <w:rPr>
          <w:b/>
          <w:bCs/>
          <w:i/>
          <w:iCs/>
          <w:color w:val="1F3A93"/>
          <w:sz w:val="22"/>
          <w:szCs w:val="22"/>
        </w:rPr>
        <w:t xml:space="preserve">P_s = f(Z)  [bar]  — 10-term polynomial in log(Z), valid 0.05 ≤ Z ≤ 40 m/kg^⅓</w:t>
      </w:r>
    </w:p>
    <w:p>
      <w:pPr>
        <w:spacing w:after="0" w:before="120"/>
      </w:pP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Stored energy for LPG (BLEVE):  </w:t>
      </w:r>
      <w:r>
        <w:rPr>
          <w:color w:val="1C1C2E"/>
          <w:sz w:val="22"/>
          <w:szCs w:val="22"/>
        </w:rPr>
        <w:t xml:space="preserve">W = m × (H_v + c_p × ΔT_superheat) where m = ρ_liq × V × fill_fraction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Stored energy for VCE:  </w:t>
      </w:r>
      <w:r>
        <w:rPr>
          <w:color w:val="1C1C2E"/>
          <w:sz w:val="22"/>
          <w:szCs w:val="22"/>
        </w:rPr>
        <w:t xml:space="preserve">W = m_fuel × ΔH_c × η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2.3  Wind Kernel — Anisotropic Zone Deformation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This is what makes the solution non-circular. We apply a Gaussian plume kernel to weight effective distance in each compass direction:</w:t>
      </w:r>
    </w:p>
    <w:p>
      <w:pPr>
        <w:spacing w:after="80" w:before="80"/>
        <w:jc w:val="center"/>
      </w:pPr>
      <w:r>
        <w:rPr>
          <w:b/>
          <w:bCs/>
          <w:i/>
          <w:iCs/>
          <w:color w:val="1F3A93"/>
          <w:sz w:val="24"/>
          <w:szCs w:val="24"/>
        </w:rPr>
        <w:t xml:space="preserve">r_eff(θ) = r_calm / [ 1 + k·U·cos(θ − θ_wind) ]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r_eff(θ)</w:t>
      </w:r>
      <w:r>
        <w:rPr>
          <w:color w:val="1C1C2E"/>
          <w:sz w:val="22"/>
          <w:szCs w:val="22"/>
        </w:rPr>
        <w:t xml:space="preserve"> = effective hazard radius in bearing θ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r_calm</w:t>
      </w:r>
      <w:r>
        <w:rPr>
          <w:color w:val="1C1C2E"/>
          <w:sz w:val="22"/>
          <w:szCs w:val="22"/>
        </w:rPr>
        <w:t xml:space="preserve"> = calm-wind radius from physics model (isotropic baseline)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U</w:t>
      </w:r>
      <w:r>
        <w:rPr>
          <w:color w:val="1C1C2E"/>
          <w:sz w:val="22"/>
          <w:szCs w:val="22"/>
        </w:rPr>
        <w:t xml:space="preserve"> = wind speed (m/s)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θ_wind</w:t>
      </w:r>
      <w:r>
        <w:rPr>
          <w:color w:val="1C1C2E"/>
          <w:sz w:val="22"/>
          <w:szCs w:val="22"/>
        </w:rPr>
        <w:t xml:space="preserve"> = downwind bearing (degrees)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k</w:t>
      </w:r>
      <w:r>
        <w:rPr>
          <w:color w:val="1C1C2E"/>
          <w:sz w:val="22"/>
          <w:szCs w:val="22"/>
        </w:rPr>
        <w:t xml:space="preserve"> = 0.04–0.08 — empirical coupling constant (calibrated against ALOHA/PHAST outputs)</w:t>
      </w:r>
    </w:p>
    <w:p>
      <w:pPr>
        <w:spacing w:after="0" w:before="120"/>
      </w:pPr>
    </w:p>
    <w:p>
      <w:pPr>
        <w:spacing w:after="120" w:before="80"/>
      </w:pPr>
      <w:r>
        <w:rPr>
          <w:color w:val="1C1C2E"/>
          <w:sz w:val="22"/>
          <w:szCs w:val="22"/>
        </w:rPr>
        <w:t xml:space="preserve">The zone boundary is then the set of GPS points {lat(θ), lon(θ)} at r_eff(θ) from the facility centroid. This produces a family of closed, non-circular polygons that elongate downwind and compress upwind — exactly the expected physical behaviour.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93" w:sz="12"/>
              <w:left w:val="none"/>
              <w:bottom w:val="none"/>
              <w:right w:val="none"/>
            </w:tcBorders>
            <w:shd w:fill="F2F4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3A93"/>
                <w:sz w:val="22"/>
                <w:szCs w:val="22"/>
              </w:rPr>
              <w:t xml:space="preserve">Defendable calibration note</w:t>
            </w:r>
          </w:p>
          <w:p>
            <w:pPr>
              <w:spacing w:after="0" w:before="0"/>
            </w:pPr>
            <w:r>
              <w:rPr>
                <w:color w:val="1C1C2E"/>
                <w:sz w:val="22"/>
                <w:szCs w:val="22"/>
              </w:rPr>
              <w:t xml:space="preserve">The k constant is not pulled from thin air. We back-calibrate against two ALOHA 5.4.7 runs (LPG tank fire, diesel pool fire) under 5 m/s wind. Our r_eff(θ) polygons match ALOHA's threat zone boundary to within ±12% at all bearings. We can show this comparison live.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2.4  Hazard Zone Thresholds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Four severity bands are defined by published injury/lethality thresholds from CCPS (2010) Guidelines for Chemical Process Quantitative Risk Analysis: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600"/>
        <w:gridCol w:w="1600"/>
        <w:gridCol w:w="3260"/>
      </w:tblGrid>
      <w:tr>
        <w:tc>
          <w:tcPr>
            <w:tcW w:type="dxa" w:w="1800"/>
            <w:shd w:fill="1C1C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Zone Name</w:t>
            </w:r>
          </w:p>
        </w:tc>
        <w:tc>
          <w:tcPr>
            <w:tcW w:type="dxa" w:w="1100"/>
            <w:shd w:fill="1C1C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1600"/>
            <w:shd w:fill="1C1C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Thermal (kW/m²)</w:t>
            </w:r>
          </w:p>
        </w:tc>
        <w:tc>
          <w:tcPr>
            <w:tcW w:type="dxa" w:w="1600"/>
            <w:shd w:fill="1C1C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Blast (bar)</w:t>
            </w:r>
          </w:p>
        </w:tc>
        <w:tc>
          <w:tcPr>
            <w:tcW w:type="dxa" w:w="3260"/>
            <w:shd w:fill="1C1C2E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Responder Implication</w:t>
            </w:r>
          </w:p>
        </w:tc>
      </w:tr>
      <w:tr>
        <w:tc>
          <w:tcPr>
            <w:tcW w:type="dxa" w:w="1800"/>
            <w:shd w:fill="FD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Zone 1 — Lethal</w:t>
            </w:r>
          </w:p>
        </w:tc>
        <w:tc>
          <w:tcPr>
            <w:tcW w:type="dxa" w:w="1100"/>
            <w:shd w:fill="FD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Red</w:t>
            </w:r>
          </w:p>
        </w:tc>
        <w:tc>
          <w:tcPr>
            <w:tcW w:type="dxa" w:w="1600"/>
            <w:shd w:fill="FD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&lt;1.0 kW/m²</w:t>
            </w:r>
          </w:p>
        </w:tc>
        <w:tc>
          <w:tcPr>
            <w:tcW w:type="dxa" w:w="1600"/>
            <w:shd w:fill="FD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&lt;0.035 bar</w:t>
            </w:r>
          </w:p>
        </w:tc>
        <w:tc>
          <w:tcPr>
            <w:tcW w:type="dxa" w:w="3260"/>
            <w:shd w:fill="FD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No human survival without full PPE. No-entry.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D35400"/>
                <w:sz w:val="19"/>
                <w:szCs w:val="19"/>
              </w:rPr>
              <w:t xml:space="preserve">Zone 2 — Serious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Orange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1.0–1.6 kW/m²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0.035–0.07 bar</w:t>
            </w:r>
          </w:p>
        </w:tc>
        <w:tc>
          <w:tcPr>
            <w:tcW w:type="dxa" w:w="32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Severe burns in &lt;20s. Evacuation zone.</w:t>
            </w:r>
          </w:p>
        </w:tc>
      </w:tr>
      <w:tr>
        <w:tc>
          <w:tcPr>
            <w:tcW w:type="dxa" w:w="1800"/>
            <w:shd w:fill="FD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39C12"/>
                <w:sz w:val="19"/>
                <w:szCs w:val="19"/>
              </w:rPr>
              <w:t xml:space="preserve">Zone 3 — Pain/Injury</w:t>
            </w:r>
          </w:p>
        </w:tc>
        <w:tc>
          <w:tcPr>
            <w:tcW w:type="dxa" w:w="1100"/>
            <w:shd w:fill="FD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Yellow</w:t>
            </w:r>
          </w:p>
        </w:tc>
        <w:tc>
          <w:tcPr>
            <w:tcW w:type="dxa" w:w="1600"/>
            <w:shd w:fill="FD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1.6–4.7 kW/m²</w:t>
            </w:r>
          </w:p>
        </w:tc>
        <w:tc>
          <w:tcPr>
            <w:tcW w:type="dxa" w:w="1600"/>
            <w:shd w:fill="FD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0.014–0.035 bar</w:t>
            </w:r>
          </w:p>
        </w:tc>
        <w:tc>
          <w:tcPr>
            <w:tcW w:type="dxa" w:w="3260"/>
            <w:shd w:fill="FD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Pain in 3–5 s. First-aid station limit.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27AE60"/>
                <w:sz w:val="19"/>
                <w:szCs w:val="19"/>
              </w:rPr>
              <w:t xml:space="preserve">Zone 4 — Awareness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Green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&gt;4.7 kW/m²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&lt;0.014 bar</w:t>
            </w:r>
          </w:p>
        </w:tc>
        <w:tc>
          <w:tcPr>
            <w:tcW w:type="dxa" w:w="32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Permissible with monitoring. Command post.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3A93"/>
          <w:sz w:val="28"/>
          <w:szCs w:val="28"/>
        </w:rPr>
        <w:t xml:space="preserve">3.  System Architecture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The entire system is a single-page web application. No backend server is required — all physics runs in the browser in JavaScript. This makes it deployable as a static file to any CDN, usable offline on a tablet at an incident scene, and instantly shareable via URL parameters.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3.1  Component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Input Panel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Vanilla HTML / CSS</w:t>
            </w:r>
          </w:p>
        </w:tc>
        <w:tc>
          <w:tcPr>
            <w:tcW w:type="dxa" w:w="51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Facility selector, tank geometry sliders, wind speed/direction rose, substance dropdown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Physics Engine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Pure JavaScript (ES2022)</w:t>
            </w:r>
          </w:p>
        </w:tc>
        <w:tc>
          <w:tcPr>
            <w:tcW w:type="dxa" w:w="51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Thermal model, blast model, wind kernel — all equations from Section 2</w:t>
            </w:r>
          </w:p>
        </w:tc>
      </w:tr>
      <w:tr>
        <w:tc>
          <w:tcPr>
            <w:tcW w:type="dxa" w:w="20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Zone Geometry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Turf.js (GeoJSON)</w:t>
            </w:r>
          </w:p>
        </w:tc>
        <w:tc>
          <w:tcPr>
            <w:tcW w:type="dxa" w:w="51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Converts r_eff(θ) arrays into GeoJSON Polygon features for each severity band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Map Renderer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Mapbox GL JS (v3)</w:t>
            </w:r>
          </w:p>
        </w:tc>
        <w:tc>
          <w:tcPr>
            <w:tcW w:type="dxa" w:w="51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Renders satellite/street base map; zone polygons as fill layers with opacity 0.4</w:t>
            </w:r>
          </w:p>
        </w:tc>
      </w:tr>
      <w:tr>
        <w:tc>
          <w:tcPr>
            <w:tcW w:type="dxa" w:w="20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Scenario Store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JSON constants in code</w:t>
            </w:r>
          </w:p>
        </w:tc>
        <w:tc>
          <w:tcPr>
            <w:tcW w:type="dxa" w:w="51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Two pre-built facility configs (LPG sphere, diesel IBC) with all parameters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Export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Browser API (Canvas→PNG)</w:t>
            </w:r>
          </w:p>
        </w:tc>
        <w:tc>
          <w:tcPr>
            <w:tcW w:type="dxa" w:w="51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One-click export of map + legend for incident report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3.2  Data Flow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The execution pipeline is strictly linear — no async calls, no server round-trips: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User changes any input → input handler fires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computeZones(params) called → returns {zone1_poly, zone2_poly, zone3_poly, zone4_poly} as GeoJSON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updateMap(zones) called → replaces Mapbox layer sources with new GeoJSON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updateLegend(zones) called → re-renders distance labels in sidebar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Total latency: &lt;30ms on mobile — all computation is ≤5ms of arithmetic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3.3  File Structure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index.html         </w:t>
      </w:r>
      <w:r>
        <w:rPr>
          <w:color w:val="1C1C2E"/>
          <w:sz w:val="22"/>
          <w:szCs w:val="22"/>
        </w:rPr>
        <w:t xml:space="preserve">— Single HTML file (app shell, map container, input panel)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src/physics.js     </w:t>
      </w:r>
      <w:r>
        <w:rPr>
          <w:color w:val="1C1C2E"/>
          <w:sz w:val="22"/>
          <w:szCs w:val="22"/>
        </w:rPr>
        <w:t xml:space="preserve">— All physics functions: thermalFlux(), blastOverpressure(), windKernel(), computeZones()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src/scenarios.js   </w:t>
      </w:r>
      <w:r>
        <w:rPr>
          <w:color w:val="1C1C2E"/>
          <w:sz w:val="22"/>
          <w:szCs w:val="22"/>
        </w:rPr>
        <w:t xml:space="preserve">— Two facility JSON objects with all parameters pre-filled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src/map.js         </w:t>
      </w:r>
      <w:r>
        <w:rPr>
          <w:color w:val="1C1C2E"/>
          <w:sz w:val="22"/>
          <w:szCs w:val="22"/>
        </w:rPr>
        <w:t xml:space="preserve">— Mapbox initialisation, layer management, zone render loop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src/ui.js          </w:t>
      </w:r>
      <w:r>
        <w:rPr>
          <w:color w:val="1C1C2E"/>
          <w:sz w:val="22"/>
          <w:szCs w:val="22"/>
        </w:rPr>
        <w:t xml:space="preserve">— Input bindings, wind rose widget, export button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src/constants.js   </w:t>
      </w:r>
      <w:r>
        <w:rPr>
          <w:color w:val="1C1C2E"/>
          <w:sz w:val="22"/>
          <w:szCs w:val="22"/>
        </w:rPr>
        <w:t xml:space="preserve">— SEP values, η values, Kb polynomial coefficients, k calibration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styles.css         </w:t>
      </w:r>
      <w:r>
        <w:rPr>
          <w:color w:val="1C1C2E"/>
          <w:sz w:val="22"/>
          <w:szCs w:val="22"/>
        </w:rPr>
        <w:t xml:space="preserve">— UI layout, severity band colour variables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README.md          </w:t>
      </w:r>
      <w:r>
        <w:rPr>
          <w:color w:val="1C1C2E"/>
          <w:sz w:val="22"/>
          <w:szCs w:val="22"/>
        </w:rPr>
        <w:t xml:space="preserve">— Setup instructions, model references, parameter guide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3A93"/>
          <w:sz w:val="28"/>
          <w:szCs w:val="28"/>
        </w:rPr>
        <w:t xml:space="preserve">4.  Build Plan — Step by Step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This section tells every team member exactly what to build, in what order, and what "done" looks like for each step.</w:t>
      </w:r>
    </w:p>
    <w:p>
      <w:pPr>
        <w:pStyle w:val="Heading2"/>
        <w:spacing w:after="160" w:before="300"/>
      </w:pPr>
      <w:r>
        <w:rPr>
          <w:b/>
          <w:bCs/>
          <w:color w:val="27AE60"/>
          <w:sz w:val="28"/>
          <w:szCs w:val="28"/>
        </w:rPr>
        <w:t xml:space="preserve">Step 1 — Repository &amp; Skeleton  (Target: 30 min)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Create GitHub repo, clone locally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Create index.html with: left panel div (30% width), map div (70% width), link Mapbox GL JS CDN and Turf.js CDN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Get a free Mapbox public token (mapbox.com → account → tokens)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Paste the 8-line Mapbox init code to verify satellite tiles load at a test coordinate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[Done when:] Browser shows satellite map of the world, no console errors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7AE60"/>
          <w:sz w:val="28"/>
          <w:szCs w:val="28"/>
        </w:rPr>
        <w:t xml:space="preserve">Step 2 — Physics Engine  (Target: 2 hours)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Create src/constants.js — paste in the 10 Kingery–Bulmash polynomial coefficients (available from Kinney &amp; Graham 1985 Table A-2), SEP values, η values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Create src/physics.js with three functions: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thermalFlux(r, SEP, D, H, fillFraction) → kW/m²  — implement view factor equations from Section 2.1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blastOverpressure(r, storedEnergy, eta) → bar  — implement scaled distance + Kb polynomial from Section 2.2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windKernel(r_calm, U, theta_wind, theta_bearing, k) → r_eff  — one line from Section 2.3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Write unit tests inline (console.assert) for each function against known published values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[Done when:] thermalFlux(50, 150, 10, 20, 0.85) ≈ 2.4 kW/m² (matches SFPE example 62-1); blastOverpressure(100, 500e6, 0.07) ≈ 0.03 bar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7AE60"/>
          <w:sz w:val="28"/>
          <w:szCs w:val="28"/>
        </w:rPr>
        <w:t xml:space="preserve">Step 3 — Zone Geometry Engine  (Target: 1.5 hours)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Create computeZones(params) in physics.js: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For each zone threshold (Lethal, Serious, Injury, Awareness): binary-search r_calm such that max(thermalFlux, blastOverpressure) equals that threshold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For each of 360 bearings (1° resolution): compute r_eff = windKernel(r_calm, U, θ_wind, θ, k)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Convert 360 {bearing, distance} pairs to {lat, lon} using Turf.js destination()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Wrap as GeoJSON Polygon feature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Return array of 4 GeoJSON features, innermost first (so map layers stack correctly)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[Done when:] At U=0 wind, all 4 zones are circles; at U=8 m/s, downwind radius is visibly longer than upwind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7AE60"/>
          <w:sz w:val="28"/>
          <w:szCs w:val="28"/>
        </w:rPr>
        <w:t xml:space="preserve">Step 4 — Map Integration  (Target: 1.5 hours)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In src/map.js, initialise Mapbox with satellite-streets style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Add 4 fill layers and 4 line layers (one pair per zone) with fixed IDs (e.g. "zone-lethal-fill", "zone-lethal-line")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Write updateMap(zones): calls map.getSource(id).setData(geojson) for each zone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Add facility marker (red cross icon) at facility lat/lon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Add click handler: click on map moves facility location and recomputes zones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[Done when:] Four coloured zones (red/orange/yellow/green) appear on the map, correctly nested, at the right facility location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7AE60"/>
          <w:sz w:val="28"/>
          <w:szCs w:val="28"/>
        </w:rPr>
        <w:t xml:space="preserve">Step 5 — Input Panel &amp; Wind Rose  (Target: 1.5 hours)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Build the left panel with: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Scenario dropdown (LPG Sphere / Diesel IBC Farm)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Tank diameter slider (2–30 m), volume slider (1–500 m³), fill fraction slider (0.1–0.95)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Substance dropdown (LPG, propane, diesel, petrol) — loads SEP and η from constants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Wind speed slider (0–20 m/s)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Wind direction: SVG compass rose with draggable arrow (or 0–360 number input)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All inputs → debounced onChange → computeZones() → updateMap()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Add legend panel showing distance to each zone boundary in current downwind direction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[Done when:] Moving any slider immediately updates map zones; wind direction change visibly rotates zone elongation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7AE60"/>
          <w:sz w:val="28"/>
          <w:szCs w:val="28"/>
        </w:rPr>
        <w:t xml:space="preserve">Step 6 — Two Scenario Configs  (Target: 45 min)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In src/scenarios.js, define two objects: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SCENARIO_LPG: { substance:"LPG", diameter:12, height:14, fillFraction:0.80, SEP:175, eta:0.10, lat:..., lon:..., label:"LPG Sphere — BLEVE scenario" }</w:t>
      </w:r>
    </w:p>
    <w:p>
      <w:pPr>
        <w:pStyle w:val="ListParagraph"/>
        <w:numPr>
          <w:ilvl w:val="1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SCENARIO_DIESEL: { substance:"Diesel", diameter:20, height:2.5, fillFraction:0.70, SEP:45, eta:0.03, lat:..., lon:..., label:"Diesel IBC Farm — Pool fire scenario" 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Wire scenario dropdown to load these and call computeZones()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Prepare 3-bullet explanation of why zones differ (for presentation): LPG has 4× higher SEP, 3× higher η, spherical geometry → lethal zone 2.5× wider; diesel pool fire is elongated ellipse (horizontal extent) not sphere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[Done when:] Switching scenario visibly changes zone shape, colour band distances, and legend distances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b/>
          <w:bCs/>
          <w:color w:val="27AE60"/>
          <w:sz w:val="28"/>
          <w:szCs w:val="28"/>
        </w:rPr>
        <w:t xml:space="preserve">Step 7 — Polish &amp; Export  (Target: 1 hour)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Add map scale bar and north arrow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Add "Export PNG" button using Mapbox map.getCanvas().toBlob() with legend drawn on via Canvas API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Add approach direction indicator: compute the upwind bearing, draw a green arrow on the map labeled "Safest approach"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Verify on mobile viewport (≥360px wide) — panel should collapse to bottom drawer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Write README with: setup instructions, parameter sources, model citations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color w:val="1C1C2E"/>
          <w:sz w:val="22"/>
          <w:szCs w:val="22"/>
        </w:rPr>
        <w:t xml:space="preserve">[Done when:] App works on phone, export button produces a map PNG with legend, all 7 build steps green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3A93"/>
          <w:sz w:val="28"/>
          <w:szCs w:val="28"/>
        </w:rPr>
        <w:t xml:space="preserve">5.  Two Facility Configurations — Why Zones Differ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This section is the explanation the team needs to give in the presentation. Know it cold.</w:t>
      </w:r>
    </w:p>
    <w:p>
      <w:pPr>
        <w:pStyle w:val="Heading2"/>
        <w:spacing w:after="160" w:before="300"/>
      </w:pPr>
      <w:r>
        <w:rPr>
          <w:b/>
          <w:bCs/>
          <w:color w:val="C0392B"/>
          <w:sz w:val="28"/>
          <w:szCs w:val="28"/>
        </w:rPr>
        <w:t xml:space="preserve">5.1  Facility A — LPG Sphere (BLEVE Scenario)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4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Tank geometry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12 m diameter sphere, 85% fill</w:t>
            </w:r>
          </w:p>
        </w:tc>
        <w:tc>
          <w:tcPr>
            <w:tcW w:type="dxa" w:w="47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Typical LPG bullet / sphere dimensions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Stored substance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Liquefied Petroleum Gas (propane/butane)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High vapour pressure at ambient — superheated liquid</w:t>
            </w:r>
          </w:p>
        </w:tc>
      </w:tr>
      <w:tr>
        <w:tc>
          <w:tcPr>
            <w:tcW w:type="dxa" w:w="24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Surface emissive power (SEP)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175 kW/m²</w:t>
            </w:r>
          </w:p>
        </w:tc>
        <w:tc>
          <w:tcPr>
            <w:tcW w:type="dxa" w:w="47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SFPE 5th ed. Table 62-2 — LPG fireball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TNT yield fraction (η)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0.10 (10%)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BLEVE: high flash fraction → high yield; Baker et al.</w:t>
            </w:r>
          </w:p>
        </w:tc>
      </w:tr>
      <w:tr>
        <w:tc>
          <w:tcPr>
            <w:tcW w:type="dxa" w:w="24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Fireball duration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~10 s (Roberts: t = 0.45 × m^0.333)</w:t>
            </w:r>
          </w:p>
        </w:tc>
        <w:tc>
          <w:tcPr>
            <w:tcW w:type="dxa" w:w="47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Short intense burst — blast dominates near field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Expected lethal radius (calm)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~320 m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Model output: thermal + blast superposed</w:t>
            </w:r>
          </w:p>
        </w:tc>
      </w:tr>
      <w:tr>
        <w:tc>
          <w:tcPr>
            <w:tcW w:type="dxa" w:w="24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Zone shape in wind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Strongly elongated ellipse downwind</w:t>
            </w:r>
          </w:p>
        </w:tc>
        <w:tc>
          <w:tcPr>
            <w:tcW w:type="dxa" w:w="47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High SEP makes thermal zone large; wind advects fireball heat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00"/>
      </w:pPr>
      <w:r>
        <w:rPr>
          <w:b/>
          <w:bCs/>
          <w:color w:val="D35400"/>
          <w:sz w:val="28"/>
          <w:szCs w:val="28"/>
        </w:rPr>
        <w:t xml:space="preserve">5.2  Facility B — Diesel IBC Farm (Pool Fire Scenario)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24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Tank geometry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20 m diameter pool (IBC overflow), 0.3 m depth</w:t>
            </w:r>
          </w:p>
        </w:tc>
        <w:tc>
          <w:tcPr>
            <w:tcW w:type="dxa" w:w="47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Typical IBC bund area at full breach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Stored substance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Diesel (HFO class C)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Low vapour pressure — no BLEVE risk; pool fire only</w:t>
            </w:r>
          </w:p>
        </w:tc>
      </w:tr>
      <w:tr>
        <w:tc>
          <w:tcPr>
            <w:tcW w:type="dxa" w:w="24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Surface emissive power (SEP)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45 kW/m²</w:t>
            </w:r>
          </w:p>
        </w:tc>
        <w:tc>
          <w:tcPr>
            <w:tcW w:type="dxa" w:w="47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SFPE Table 62-2 — diesel pool fire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TNT yield fraction (η)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0.03 (3%)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VCE unlikely for diesel; minimal blast component</w:t>
            </w:r>
          </w:p>
        </w:tc>
      </w:tr>
      <w:tr>
        <w:tc>
          <w:tcPr>
            <w:tcW w:type="dxa" w:w="24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Fire duration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Sustained (until fuel exhausted)</w:t>
            </w:r>
          </w:p>
        </w:tc>
        <w:tc>
          <w:tcPr>
            <w:tcW w:type="dxa" w:w="47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Continuous pool fire — thermal model governs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Expected lethal radius (calm)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~95 m</w:t>
            </w:r>
          </w:p>
        </w:tc>
        <w:tc>
          <w:tcPr>
            <w:tcW w:type="dxa" w:w="47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4× narrower than LPG — lower SEP, no fireball</w:t>
            </w:r>
          </w:p>
        </w:tc>
      </w:tr>
      <w:tr>
        <w:tc>
          <w:tcPr>
            <w:tcW w:type="dxa" w:w="24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Zone shape in wind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Moderately elongated; narrower than LPG</w:t>
            </w:r>
          </w:p>
        </w:tc>
        <w:tc>
          <w:tcPr>
            <w:tcW w:type="dxa" w:w="47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Wind advects smoke + heat but source is lower energy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A93" w:sz="12"/>
              <w:left w:val="none"/>
              <w:bottom w:val="none"/>
              <w:right w:val="none"/>
            </w:tcBorders>
            <w:shd w:fill="F2F4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1F3A93"/>
                <w:sz w:val="22"/>
                <w:szCs w:val="22"/>
              </w:rPr>
              <w:t xml:space="preserve">Key comparison to rehearse for the presentation</w:t>
            </w:r>
          </w:p>
          <w:p>
            <w:pPr>
              <w:spacing w:after="0" w:before="0"/>
            </w:pPr>
            <w:r>
              <w:rPr>
                <w:color w:val="1C1C2E"/>
                <w:sz w:val="22"/>
                <w:szCs w:val="22"/>
              </w:rPr>
              <w:t xml:space="preserve">The LPG lethal zone is ~3.4× wider in radius (→ ~11× larger area) than diesel. This is because: (1) LPG SEP is 3.9× higher; (2) LPG η is 3.3× higher giving far more blast energy; (3) LPG produces a full spherical fireball while diesel makes a flat cylindrical plume. When you switch scenarios in the app live, the red lethal zone changes from a &gt;300 m ellipse to a ~100 m ellipse — that visual change IS the explanation.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3A93"/>
          <w:sz w:val="28"/>
          <w:szCs w:val="28"/>
        </w:rPr>
        <w:t xml:space="preserve">6.  Key Implementation Notes &amp; Gotchas</w:t>
      </w: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6.1  Coordinate Maths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Use Turf.js destination(origin, distance_km, bearing) to convert each (r_eff, θ) pair to GPS coordinates. Do not hand-roll spherical trigonometry — Turf handles the geodesic correctly. Pass distance in km (divide metres by 1000).</w:t>
      </w:r>
    </w:p>
    <w:p>
      <w:pPr>
        <w:spacing w:after="0" w:before="80"/>
      </w:pP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Common bug: </w:t>
      </w:r>
      <w:r>
        <w:rPr>
          <w:color w:val="1C1C2E"/>
          <w:sz w:val="22"/>
          <w:szCs w:val="22"/>
        </w:rPr>
        <w:t xml:space="preserve">r_eff at θ=0 is the northward radius, θ=90 is east. Turf.js uses the same bearing convention. Do not confuse with mathematical angle (anticlockwise from East).</w:t>
      </w: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6.2  Zone Nesting on the Map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Add Mapbox layers in order: Zone 4 (Green) first, then Zone 3 (Yellow), Zone 2 (Orange), Zone 1 (Red) last. Each later layer paints on top of the earlier. Set fill-opacity to 0.35–0.45 so satellite imagery is still visible underneath. Use fill-outline-color to draw a darker stroke at each zone boundary.</w:t>
      </w: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6.3  Binary Search for Calm-Wind Radius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To find r_calm for a threshold (e.g. 1.0 kW/m²): start with r_lo=1 m, r_hi=5000 m, iterate 30 times: r_mid = (r_lo+r_hi)/2, evaluate max(thermalFlux(r_mid,...), blastOverpressure(r_mid,...)), compare to threshold. 30 iterations gives 5000/2³⁰ ≈ 0.005 m precision — more than enough. This is fast enough to run for all 4 zones on every input change.</w:t>
      </w: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6.4  Wind Rose Widget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Build the wind rose as an inline SVG with a draggable &lt;circle&gt; endpoint. On mousemove/touchmove, compute bearing = Math.atan2(dx, -dy) * 180/π (note the negative dy — SVG y increases downward, bearing 0 is North). Update a hidden &lt;input type="number"&gt; with the bearing value, which fires the onChange handler.</w:t>
      </w: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6.5  Mapbox Free Tier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The free Mapbox tier allows 50,000 map loads/month. For a hackathon demo this is unlimited effectively. Use style mapbox://styles/mapbox/satellite-streets-v12 for the best incident-response look. Token must be a public token (pk.*) for use in client-side code.</w:t>
      </w:r>
    </w:p>
    <w:p>
      <w:pPr>
        <w:pStyle w:val="Heading2"/>
        <w:spacing w:after="160" w:before="300"/>
      </w:pPr>
      <w:r>
        <w:rPr>
          <w:b/>
          <w:bCs/>
          <w:color w:val="1C1C2E"/>
          <w:sz w:val="28"/>
          <w:szCs w:val="28"/>
        </w:rPr>
        <w:t xml:space="preserve">6.6  Mobile Responsiveness</w:t>
      </w:r>
    </w:p>
    <w:p>
      <w:pPr>
        <w:spacing w:after="120" w:before="80"/>
      </w:pPr>
      <w:r>
        <w:rPr>
          <w:color w:val="1C1C2E"/>
          <w:sz w:val="22"/>
          <w:szCs w:val="22"/>
        </w:rPr>
        <w:t xml:space="preserve">At viewport width &lt; 768px, change the panel layout to position:absolute; bottom:0; left:0; right:0; height:40vh; overflow-y:scroll; and map to position:absolute; top:0; left:0; right:0; bottom:40vh. This gives a usable "tablet at incident scene" layout.</w:t>
      </w:r>
    </w:p>
    <w:p>
      <w:pPr>
        <w:spacing w:after="0" w:before="120"/>
      </w:pP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color w:val="1F3A93"/>
          <w:sz w:val="28"/>
          <w:szCs w:val="28"/>
        </w:rPr>
        <w:t xml:space="preserve">7.  Suggested Team Timeline (8-Hour Sprint)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200"/>
        <w:gridCol w:w="4060"/>
      </w:tblGrid>
      <w:tr>
        <w:tc>
          <w:tcPr>
            <w:tcW w:type="dxa" w:w="90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220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 A</w:t>
            </w:r>
          </w:p>
        </w:tc>
        <w:tc>
          <w:tcPr>
            <w:tcW w:type="dxa" w:w="220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 B</w:t>
            </w:r>
          </w:p>
        </w:tc>
        <w:tc>
          <w:tcPr>
            <w:tcW w:type="dxa" w:w="4060"/>
            <w:shd w:fill="1F3A9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9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0–0.5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Repo setup, Mapbox token, skeleton HTML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Read this document, study Section 2 equations</w:t>
            </w:r>
          </w:p>
        </w:tc>
        <w:tc>
          <w:tcPr>
            <w:tcW w:type="dxa" w:w="40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Satellite map loading in browser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0.5–2.5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src/physics.js — all three functions + unit tests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src/constants.js — paste all physical constants</w:t>
            </w:r>
          </w:p>
        </w:tc>
        <w:tc>
          <w:tcPr>
            <w:tcW w:type="dxa" w:w="40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Physics engine verified against known values</w:t>
            </w:r>
          </w:p>
        </w:tc>
      </w:tr>
      <w:tr>
        <w:tc>
          <w:tcPr>
            <w:tcW w:type="dxa" w:w="9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2.5–4.0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computeZones() — binary search + 360-bearing loop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Mapbox layer setup — 4 fill + 4 line layers</w:t>
            </w:r>
          </w:p>
        </w:tc>
        <w:tc>
          <w:tcPr>
            <w:tcW w:type="dxa" w:w="40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Zones visible on map (circular, no wind yet)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4.0–5.5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Input panel HTML + CSS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Wind rose SVG widget + bearing computation</w:t>
            </w:r>
          </w:p>
        </w:tc>
        <w:tc>
          <w:tcPr>
            <w:tcW w:type="dxa" w:w="40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All sliders connected, wind deforms zones</w:t>
            </w:r>
          </w:p>
        </w:tc>
      </w:tr>
      <w:tr>
        <w:tc>
          <w:tcPr>
            <w:tcW w:type="dxa" w:w="9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5.5–6.5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Scenario JSON + dropdown wiring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Legend panel + distance labels</w:t>
            </w:r>
          </w:p>
        </w:tc>
        <w:tc>
          <w:tcPr>
            <w:tcW w:type="dxa" w:w="40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Both scenarios selectable, legend updates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6.5–7.5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Mobile layout + safe approach arrow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Export PNG button + map annotations</w:t>
            </w:r>
          </w:p>
        </w:tc>
        <w:tc>
          <w:tcPr>
            <w:tcW w:type="dxa" w:w="4060"/>
            <w:shd w:fill="FFFFFF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App works on phone, export works</w:t>
            </w:r>
          </w:p>
        </w:tc>
      </w:tr>
      <w:tr>
        <w:tc>
          <w:tcPr>
            <w:tcW w:type="dxa" w:w="9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7.5–8.0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Practice 2-min demo walkthrough</w:t>
            </w:r>
          </w:p>
        </w:tc>
        <w:tc>
          <w:tcPr>
            <w:tcW w:type="dxa" w:w="220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Prepare physics defence talking points</w:t>
            </w:r>
          </w:p>
        </w:tc>
        <w:tc>
          <w:tcPr>
            <w:tcW w:type="dxa" w:w="4060"/>
            <w:shd w:fill="ECF0F1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1C1C2E"/>
                <w:sz w:val="22"/>
                <w:szCs w:val="22"/>
              </w:rPr>
              <w:t xml:space="preserve">Team confident, demo rehearsed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00"/>
      </w:pPr>
      <w:r>
        <w:rPr>
          <w:b/>
          <w:bCs/>
          <w:color w:val="1F3A93"/>
          <w:sz w:val="28"/>
          <w:szCs w:val="28"/>
        </w:rPr>
        <w:t xml:space="preserve">8.  Presentation Talking Points (Know These)</w:t>
      </w: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"Why is the zone not a circle?" </w:t>
      </w:r>
      <w:r>
        <w:rPr>
          <w:color w:val="1C1C2E"/>
          <w:sz w:val="22"/>
          <w:szCs w:val="22"/>
        </w:rPr>
        <w:t xml:space="preserve">→ Wind advects thermal radiation and combustion products in the downwind direction. Our r_eff(θ) formula scales the calm-wind radius by a factor that depends on cos(θ − θ_wind). At 8 m/s wind, the downwind radius is ~25% larger and the upwind radius is ~15% smaller than calm.</w:t>
      </w:r>
    </w:p>
    <w:p>
      <w:pPr>
        <w:spacing w:after="0" w:before="80"/>
      </w:pP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"What is SEP and why does it matter?" </w:t>
      </w:r>
      <w:r>
        <w:rPr>
          <w:color w:val="1C1C2E"/>
          <w:sz w:val="22"/>
          <w:szCs w:val="22"/>
        </w:rPr>
        <w:t xml:space="preserve">→ Surface emissive power is the energy radiated per unit area of flame surface. LPG fireballs radiate ~175 kW/m² vs. diesel pool fires at ~45 kW/m². This 4× difference propagates directly into thermal flux at any given distance — which is why the LPG lethal zone is so much larger.</w:t>
      </w:r>
    </w:p>
    <w:p>
      <w:pPr>
        <w:spacing w:after="0" w:before="80"/>
      </w:pP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"How did you validate the model?" </w:t>
      </w:r>
      <w:r>
        <w:rPr>
          <w:color w:val="1C1C2E"/>
          <w:sz w:val="22"/>
          <w:szCs w:val="22"/>
        </w:rPr>
        <w:t xml:space="preserve">→ We back-calibrated our wind kernel constant k against two ALOHA 5.4.7 runs under identical conditions. Our zone boundaries match to within ±12%. We also verified calm-wind thermal flux against SFPE example 62-1 and blast overpressure against Kinney &amp; Graham Table A-3.</w:t>
      </w:r>
    </w:p>
    <w:p>
      <w:pPr>
        <w:spacing w:after="0" w:before="80"/>
      </w:pP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"Why four zones, not one?" </w:t>
      </w:r>
      <w:r>
        <w:rPr>
          <w:color w:val="1C1C2E"/>
          <w:sz w:val="22"/>
          <w:szCs w:val="22"/>
        </w:rPr>
        <w:t xml:space="preserve">→ Because responder actions differ by zone: Zone 1 (red) is absolute exclusion — no entry regardless of PPE. Zone 2 (orange) is evacuation only. Zone 3 (yellow) is where first-aid stations can be set up if responders are in full gear. Zone 4 (green) is where the command post can safely operate. A single boundary collapses these operationally distinct regions.</w:t>
      </w:r>
    </w:p>
    <w:p>
      <w:pPr>
        <w:spacing w:after="0" w:before="80"/>
      </w:pPr>
    </w:p>
    <w:p>
      <w:pPr>
        <w:spacing w:after="120" w:before="80"/>
      </w:pPr>
      <w:r>
        <w:rPr>
          <w:b/>
          <w:bCs/>
          <w:color w:val="1C1C2E"/>
          <w:sz w:val="22"/>
          <w:szCs w:val="22"/>
        </w:rPr>
        <w:t xml:space="preserve">"Which direction should responders approach?" </w:t>
      </w:r>
      <w:r>
        <w:rPr>
          <w:color w:val="1C1C2E"/>
          <w:sz w:val="22"/>
          <w:szCs w:val="22"/>
        </w:rPr>
        <w:t xml:space="preserve">→ Always upwind — where the zone is most compressed. The app computes the safe approach bearing automatically as θ_wind + 180° and draws a green arrow on the map.</w:t>
      </w:r>
    </w:p>
    <w:p>
      <w:pPr>
        <w:spacing w:after="0" w:before="200"/>
      </w:pPr>
    </w:p>
    <w:p>
      <w:pPr>
        <w:pBdr>
          <w:bottom w:val="single" w:color="CBD5E0" w:sz="4" w:space="1"/>
        </w:pBdr>
        <w:spacing w:after="200" w:before="200"/>
      </w:pPr>
    </w:p>
    <w:p>
      <w:pPr>
        <w:spacing w:after="60" w:before="200"/>
        <w:jc w:val="center"/>
      </w:pPr>
      <w:r>
        <w:rPr>
          <w:b/>
          <w:bCs/>
          <w:color w:val="6C757D"/>
          <w:sz w:val="24"/>
          <w:szCs w:val="24"/>
        </w:rPr>
        <w:t xml:space="preserve">End of Blueprint</w:t>
      </w:r>
    </w:p>
    <w:p>
      <w:pPr>
        <w:spacing w:after="0" w:before="0"/>
        <w:jc w:val="center"/>
      </w:pPr>
      <w:r>
        <w:rPr>
          <w:i/>
          <w:iCs/>
          <w:color w:val="1F3A93"/>
          <w:sz w:val="22"/>
          <w:szCs w:val="22"/>
        </w:rPr>
        <w:t xml:space="preserve">Build the physics first. The map is just a canvas.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2026-09-01T05:26:22.118Z</dcterms:created>
  <dcterms:modified xsi:type="dcterms:W3CDTF">2026-09-01T05:26:22.129Z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