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VALUATION REPORT</w:t>
      </w:r>
    </w:p>
    <w:p>
      <w:pPr>
        <w:jc w:val="center"/>
      </w:pPr>
      <w:r>
        <w:rPr>
          <w:b w:val="0"/>
          <w:sz w:val="32"/>
        </w:rPr>
        <w:t>Securities or Financial Assets</w:t>
      </w:r>
    </w:p>
    <w:p>
      <w:pPr>
        <w:jc w:val="center"/>
      </w:pPr>
      <w:r>
        <w:rPr>
          <w:b/>
          <w:sz w:val="28"/>
        </w:rPr>
        <w:t>[SAMPLE] Sample Polymers Private Limited</w:t>
      </w:r>
    </w:p>
    <w:p>
      <w:pPr>
        <w:jc w:val="center"/>
      </w:pPr>
      <w:r>
        <w:rPr>
          <w:b w:val="0"/>
          <w:sz w:val="24"/>
        </w:rPr>
        <w:t>Under the Insolvency and Bankruptcy Code, 2016</w:t>
      </w:r>
    </w:p>
    <w:p>
      <w:pPr>
        <w:jc w:val="center"/>
      </w:pPr>
      <w:r>
        <w:rPr>
          <w:b w:val="0"/>
          <w:sz w:val="22"/>
        </w:rPr>
        <w:t>Valuation date: 01/04/2026</w:t>
      </w:r>
    </w:p>
    <w:p>
      <w:pPr>
        <w:jc w:val="center"/>
      </w:pPr>
      <w:r>
        <w:rPr>
          <w:b w:val="0"/>
          <w:sz w:val="18"/>
        </w:rPr>
        <w:t>Prepared in the format specified by IBBI Circular No. IBBI/RV/103/2026 dated 15 June 2026</w:t>
      </w:r>
    </w:p>
    <w:p>
      <w:pPr>
        <w:jc w:val="center"/>
      </w:pPr>
      <w:r>
        <w:rPr>
          <w:b/>
          <w:color w:val="C00000"/>
        </w:rPr>
        <w:t>ILLUSTRATIVE SAMPLE - FICTIONAL DATA - NOT A REAL VALUATION</w:t>
      </w:r>
    </w:p>
    <w:p>
      <w:r>
        <w:br w:type="page"/>
      </w:r>
    </w:p>
    <w:p>
      <w:pPr>
        <w:pStyle w:val="Heading1"/>
      </w:pPr>
      <w:r>
        <w:t>Executive Summary of the Valuation Report</w:t>
      </w:r>
    </w:p>
    <w:tbl>
      <w:tblPr>
        <w:tblStyle w:val="TableGrid"/>
        <w:tblW w:type="auto" w:w="0"/>
        <w:jc w:val="center"/>
        <w:tblLayout w:type="fixed"/>
        <w:tblLook w:firstColumn="1" w:firstRow="1" w:lastColumn="0" w:lastRow="0" w:noHBand="0" w:noVBand="1" w:val="04A0"/>
      </w:tblPr>
      <w:tblGrid>
        <w:gridCol w:w="3402"/>
        <w:gridCol w:w="5953"/>
      </w:tblGrid>
      <w:tr>
        <w:tc>
          <w:tcPr>
            <w:tcW w:type="dxa" w:w="3402"/>
            <w:shd w:val="clear" w:color="auto" w:fill="D9E2F3"/>
          </w:tcPr>
          <w:p>
            <w:r/>
            <w:r>
              <w:rPr>
                <w:b/>
              </w:rPr>
              <w:t>Item</w:t>
            </w:r>
          </w:p>
        </w:tc>
        <w:tc>
          <w:tcPr>
            <w:tcW w:type="dxa" w:w="5953"/>
            <w:shd w:val="clear" w:color="auto" w:fill="D9E2F3"/>
          </w:tcPr>
          <w:p>
            <w:r/>
            <w:r>
              <w:rPr>
                <w:b/>
              </w:rPr>
              <w:t>Details</w:t>
            </w:r>
          </w:p>
        </w:tc>
      </w:tr>
      <w:tr>
        <w:tc>
          <w:tcPr>
            <w:tcW w:type="dxa" w:w="3402"/>
          </w:tcPr>
          <w:p>
            <w:r>
              <w:t>Client / Appointing Agency</w:t>
            </w:r>
          </w:p>
        </w:tc>
        <w:tc>
          <w:tcPr>
            <w:tcW w:type="dxa" w:w="5953"/>
          </w:tcPr>
          <w:p>
            <w:r>
              <w:t>[SAMPLE] Mr. A. Example, Resolution Professional, IBBI/IPA-000/IP-N00000/2024-2025/00000</w:t>
            </w:r>
          </w:p>
        </w:tc>
      </w:tr>
      <w:tr>
        <w:tc>
          <w:tcPr>
            <w:tcW w:type="dxa" w:w="3402"/>
          </w:tcPr>
          <w:p>
            <w:r>
              <w:t>Details of the Corporate Debtor</w:t>
            </w:r>
          </w:p>
        </w:tc>
        <w:tc>
          <w:tcPr>
            <w:tcW w:type="dxa" w:w="5953"/>
          </w:tcPr>
          <w:p>
            <w:r>
              <w:t>[SAMPLE] Sample Polymers Private Limited, manufacturer of polymer granules. CIN U00000XX2010PTC000000. Registered office: 1 Example Road, Pune. Incorporated 01/04/2010.</w:t>
            </w:r>
          </w:p>
        </w:tc>
      </w:tr>
      <w:tr>
        <w:tc>
          <w:tcPr>
            <w:tcW w:type="dxa" w:w="3402"/>
          </w:tcPr>
          <w:p>
            <w:r>
              <w:t>Purpose of Valuation</w:t>
            </w:r>
          </w:p>
        </w:tc>
        <w:tc>
          <w:tcPr>
            <w:tcW w:type="dxa" w:w="5953"/>
          </w:tcPr>
          <w:p>
            <w:r>
              <w:t>Determination of fair value and liquidation value of the securities or financial assets of the corporate debtor under Regulation 35 of the CIRP Regulations.</w:t>
            </w:r>
          </w:p>
        </w:tc>
      </w:tr>
      <w:tr>
        <w:tc>
          <w:tcPr>
            <w:tcW w:type="dxa" w:w="3402"/>
          </w:tcPr>
          <w:p>
            <w:r>
              <w:t>Class of Asset</w:t>
            </w:r>
          </w:p>
        </w:tc>
        <w:tc>
          <w:tcPr>
            <w:tcW w:type="dxa" w:w="5953"/>
          </w:tcPr>
          <w:p>
            <w:r>
              <w:t>Securities or Financial Assets</w:t>
            </w:r>
          </w:p>
        </w:tc>
      </w:tr>
      <w:tr>
        <w:tc>
          <w:tcPr>
            <w:tcW w:type="dxa" w:w="3402"/>
          </w:tcPr>
          <w:p>
            <w:r>
              <w:t>Subject Asset</w:t>
            </w:r>
          </w:p>
        </w:tc>
        <w:tc>
          <w:tcPr>
            <w:tcW w:type="dxa" w:w="5953"/>
          </w:tcPr>
          <w:p>
            <w:r>
              <w:t>74% equity stake in Sample Packaging Private Limited, trade receivables, a loan to a related party, units of a debt mutual fund and bank balances.</w:t>
            </w:r>
          </w:p>
        </w:tc>
      </w:tr>
      <w:tr>
        <w:tc>
          <w:tcPr>
            <w:tcW w:type="dxa" w:w="3402"/>
          </w:tcPr>
          <w:p>
            <w:r>
              <w:t>Scope of Work</w:t>
            </w:r>
          </w:p>
        </w:tc>
        <w:tc>
          <w:tcPr>
            <w:tcW w:type="dxa" w:w="5953"/>
          </w:tcPr>
          <w:p>
            <w:r>
              <w:t>Fair value and liquidation value of the securities or financial assets as on the insolvency commencement date.</w:t>
            </w:r>
          </w:p>
        </w:tc>
      </w:tr>
      <w:tr>
        <w:tc>
          <w:tcPr>
            <w:tcW w:type="dxa" w:w="3402"/>
          </w:tcPr>
          <w:p>
            <w:r>
              <w:t>Insolvency commencement date (ICD)</w:t>
            </w:r>
          </w:p>
        </w:tc>
        <w:tc>
          <w:tcPr>
            <w:tcW w:type="dxa" w:w="5953"/>
          </w:tcPr>
          <w:p>
            <w:r>
              <w:t>01/04/2026</w:t>
            </w:r>
          </w:p>
        </w:tc>
      </w:tr>
      <w:tr>
        <w:tc>
          <w:tcPr>
            <w:tcW w:type="dxa" w:w="3402"/>
          </w:tcPr>
          <w:p>
            <w:r>
              <w:t>Date of appointment</w:t>
            </w:r>
          </w:p>
        </w:tc>
        <w:tc>
          <w:tcPr>
            <w:tcW w:type="dxa" w:w="5953"/>
          </w:tcPr>
          <w:p>
            <w:r>
              <w:t>20/04/2026</w:t>
            </w:r>
          </w:p>
        </w:tc>
      </w:tr>
      <w:tr>
        <w:tc>
          <w:tcPr>
            <w:tcW w:type="dxa" w:w="3402"/>
          </w:tcPr>
          <w:p>
            <w:r>
              <w:t>Inspection Date</w:t>
            </w:r>
          </w:p>
        </w:tc>
        <w:tc>
          <w:tcPr>
            <w:tcW w:type="dxa" w:w="5953"/>
          </w:tcPr>
          <w:p>
            <w:r>
              <w:t>05/05/2026</w:t>
            </w:r>
          </w:p>
        </w:tc>
      </w:tr>
      <w:tr>
        <w:tc>
          <w:tcPr>
            <w:tcW w:type="dxa" w:w="3402"/>
          </w:tcPr>
          <w:p>
            <w:r>
              <w:t>Report Date</w:t>
            </w:r>
          </w:p>
        </w:tc>
        <w:tc>
          <w:tcPr>
            <w:tcW w:type="dxa" w:w="5953"/>
          </w:tcPr>
          <w:p>
            <w:r>
              <w:t>30/06/2026</w:t>
            </w:r>
          </w:p>
        </w:tc>
      </w:tr>
      <w:tr>
        <w:tc>
          <w:tcPr>
            <w:tcW w:type="dxa" w:w="3402"/>
          </w:tcPr>
          <w:p>
            <w:r>
              <w:t>Fair Value</w:t>
            </w:r>
          </w:p>
        </w:tc>
        <w:tc>
          <w:tcPr>
            <w:tcW w:type="dxa" w:w="5953"/>
          </w:tcPr>
          <w:p>
            <w:r>
              <w:t>INR 57.14 crore</w:t>
            </w:r>
          </w:p>
        </w:tc>
      </w:tr>
      <w:tr>
        <w:tc>
          <w:tcPr>
            <w:tcW w:type="dxa" w:w="3402"/>
          </w:tcPr>
          <w:p>
            <w:r>
              <w:t>Liquidation Value</w:t>
            </w:r>
          </w:p>
        </w:tc>
        <w:tc>
          <w:tcPr>
            <w:tcW w:type="dxa" w:w="5953"/>
          </w:tcPr>
          <w:p>
            <w:r>
              <w:t>INR 35.41 crore</w:t>
            </w:r>
          </w:p>
        </w:tc>
      </w:tr>
      <w:tr>
        <w:tc>
          <w:tcPr>
            <w:tcW w:type="dxa" w:w="3402"/>
          </w:tcPr>
          <w:p>
            <w:r>
              <w:t>Details of the Registered Valuer</w:t>
            </w:r>
          </w:p>
        </w:tc>
        <w:tc>
          <w:tcPr>
            <w:tcW w:type="dxa" w:w="5953"/>
          </w:tcPr>
          <w:p>
            <w:r>
              <w:t>[SAMPLE] B. Example</w:t>
            </w:r>
          </w:p>
        </w:tc>
      </w:tr>
      <w:tr>
        <w:tc>
          <w:tcPr>
            <w:tcW w:type="dxa" w:w="3402"/>
          </w:tcPr>
          <w:p>
            <w:r>
              <w:t>Registration Number</w:t>
            </w:r>
          </w:p>
        </w:tc>
        <w:tc>
          <w:tcPr>
            <w:tcW w:type="dxa" w:w="5953"/>
          </w:tcPr>
          <w:p>
            <w:r>
              <w:t>IBBI/RV/00/0000/00000</w:t>
            </w:r>
          </w:p>
        </w:tc>
      </w:tr>
      <w:tr>
        <w:tc>
          <w:tcPr>
            <w:tcW w:type="dxa" w:w="3402"/>
          </w:tcPr>
          <w:p>
            <w:r>
              <w:t>Status of CoP as on appointment date</w:t>
            </w:r>
          </w:p>
        </w:tc>
        <w:tc>
          <w:tcPr>
            <w:tcW w:type="dxa" w:w="5953"/>
          </w:tcPr>
          <w:p>
            <w:r>
              <w:t>active</w:t>
            </w:r>
          </w:p>
        </w:tc>
      </w:tr>
      <w:tr>
        <w:tc>
          <w:tcPr>
            <w:tcW w:type="dxa" w:w="3402"/>
          </w:tcPr>
          <w:p>
            <w:r>
              <w:t>Valuation Date</w:t>
            </w:r>
          </w:p>
        </w:tc>
        <w:tc>
          <w:tcPr>
            <w:tcW w:type="dxa" w:w="5953"/>
          </w:tcPr>
          <w:p>
            <w:r>
              <w:t>01/04/2026</w:t>
            </w:r>
          </w:p>
        </w:tc>
      </w:tr>
      <w:tr>
        <w:tc>
          <w:tcPr>
            <w:tcW w:type="dxa" w:w="3402"/>
          </w:tcPr>
          <w:p>
            <w:r>
              <w:t>VRIN as generated from the website of the Authority</w:t>
            </w:r>
          </w:p>
        </w:tc>
        <w:tc>
          <w:tcPr>
            <w:tcW w:type="dxa" w:w="5953"/>
          </w:tcPr>
          <w:p>
            <w:r>
              <w:t>SAMPLE-VRIN-0000</w:t>
            </w:r>
          </w:p>
        </w:tc>
      </w:tr>
    </w:tbl>
    <w:p/>
    <w:p>
      <w:pPr>
        <w:pStyle w:val="Heading2"/>
      </w:pPr>
      <w:r>
        <w:t>a) Purpose and Scope of Work</w:t>
      </w:r>
    </w:p>
    <w:p>
      <w:r>
        <w:t>The purpose of this valuation is to estimate the Fair Value and/or Liquidation Value of the Securities &amp; Financial asset(s), as required under the Insolvency and Bankruptcy Code, 2016 and rules &amp; regulations made thereunder.</w:t>
      </w:r>
    </w:p>
    <w:p>
      <w:r>
        <w:t>As per the appointment letter dated 20/04/2026, the scope covers all securities and financial assets in the books of the corporate debtor as on the insolvency commencement date. Land and building and plant and machinery are valued by other registered valuers.</w:t>
      </w:r>
    </w:p>
    <w:p>
      <w:pPr>
        <w:pStyle w:val="Heading2"/>
      </w:pPr>
      <w:r>
        <w:t>b) Details of the Registered Valuer &amp; Registration Number</w:t>
      </w:r>
    </w:p>
    <w:p>
      <w:r>
        <w:t>[SAMPLE] B. Example - Securities or Financial Assets</w:t>
      </w:r>
    </w:p>
    <w:p>
      <w:r>
        <w:t>Registration Number: IBBI/RV/00/0000/00000</w:t>
      </w:r>
    </w:p>
    <w:p>
      <w:r>
        <w:t>VRIN: SAMPLE-VRIN-0000. The VRIN is shown in the footer on the left side of each page.</w:t>
      </w:r>
    </w:p>
    <w:p>
      <w:pPr>
        <w:pStyle w:val="Heading2"/>
      </w:pPr>
      <w:r>
        <w:t>c) Details of any other experts involved in the valuation process</w:t>
      </w:r>
    </w:p>
    <w:p>
      <w:r>
        <w:t>None. No other expert was involved.</w:t>
      </w:r>
    </w:p>
    <w:p>
      <w:pPr>
        <w:pStyle w:val="Heading2"/>
      </w:pPr>
      <w:r>
        <w:t>d) Disclosure of Valuer Interest or Conflict, if Any</w:t>
      </w:r>
    </w:p>
    <w:p>
      <w:r>
        <w:t>The valuer has no personal, financial or professional interest in the corporate debtor or its subsidiary, and no conflict of interest with the client or stakeholders.</w:t>
      </w:r>
    </w:p>
    <w:p>
      <w:pPr>
        <w:pStyle w:val="Heading2"/>
      </w:pPr>
      <w:r>
        <w:t>e) Identity of Client/Appointing Authority and Other Intended Users</w:t>
      </w:r>
    </w:p>
    <w:p>
      <w:r>
        <w:t>Client/Appointing Authority: [SAMPLE] Mr. A. Example, Resolution Professional, IBBI/IPA-000/IP-N00000/2024-2025/00000</w:t>
      </w:r>
    </w:p>
    <w:p>
      <w:r>
        <w:t>Other intended users: Committee of Creditors</w:t>
      </w:r>
    </w:p>
    <w:p>
      <w:pPr>
        <w:pStyle w:val="Heading2"/>
      </w:pPr>
      <w:r>
        <w:t>f) Intended Use</w:t>
      </w:r>
    </w:p>
    <w:p>
      <w:r>
        <w:t>This report is intended to determine valuation as per the provisions of the Insolvency and Bankruptcy Code, 2016 and rules and regulations made thereunder.</w:t>
      </w:r>
    </w:p>
    <w:p>
      <w:pPr>
        <w:pStyle w:val="Heading2"/>
      </w:pPr>
      <w:r>
        <w:t>g) Details of Assets and/or Liabilities being valued</w:t>
      </w:r>
    </w:p>
    <w:p>
      <w:r>
        <w:t>Subject asset(s): 74% equity stake in Sample Packaging Private Limited, trade receivables, a loan to a related party, units of a debt mutual fund and bank balances.</w:t>
      </w:r>
    </w:p>
    <w:tbl>
      <w:tblPr>
        <w:tblStyle w:val="TableGrid"/>
        <w:tblW w:type="auto" w:w="0"/>
        <w:jc w:val="center"/>
        <w:tblLayout w:type="fixed"/>
        <w:tblLook w:firstColumn="1" w:firstRow="1" w:lastColumn="0" w:lastRow="0" w:noHBand="0" w:noVBand="1" w:val="04A0"/>
      </w:tblPr>
      <w:tblGrid>
        <w:gridCol w:w="2835"/>
        <w:gridCol w:w="1701"/>
        <w:gridCol w:w="1417"/>
        <w:gridCol w:w="1417"/>
        <w:gridCol w:w="1984"/>
      </w:tblGrid>
      <w:tr>
        <w:tc>
          <w:tcPr>
            <w:tcW w:type="dxa" w:w="2835"/>
            <w:shd w:val="clear" w:color="auto" w:fill="D9E2F3"/>
          </w:tcPr>
          <w:p>
            <w:r/>
            <w:r>
              <w:rPr>
                <w:b/>
              </w:rPr>
              <w:t>Asset</w:t>
            </w:r>
          </w:p>
        </w:tc>
        <w:tc>
          <w:tcPr>
            <w:tcW w:type="dxa" w:w="1701"/>
            <w:shd w:val="clear" w:color="auto" w:fill="D9E2F3"/>
          </w:tcPr>
          <w:p>
            <w:r/>
            <w:r>
              <w:rPr>
                <w:b/>
              </w:rPr>
              <w:t>Category</w:t>
            </w:r>
          </w:p>
        </w:tc>
        <w:tc>
          <w:tcPr>
            <w:tcW w:type="dxa" w:w="1417"/>
            <w:shd w:val="clear" w:color="auto" w:fill="D9E2F3"/>
          </w:tcPr>
          <w:p>
            <w:r/>
            <w:r>
              <w:rPr>
                <w:b/>
              </w:rPr>
              <w:t>Book value (INR crore)</w:t>
            </w:r>
          </w:p>
        </w:tc>
        <w:tc>
          <w:tcPr>
            <w:tcW w:type="dxa" w:w="1417"/>
            <w:shd w:val="clear" w:color="auto" w:fill="D9E2F3"/>
          </w:tcPr>
          <w:p>
            <w:r/>
            <w:r>
              <w:rPr>
                <w:b/>
              </w:rPr>
              <w:t>Basis of valuation</w:t>
            </w:r>
          </w:p>
        </w:tc>
        <w:tc>
          <w:tcPr>
            <w:tcW w:type="dxa" w:w="1984"/>
            <w:shd w:val="clear" w:color="auto" w:fill="D9E2F3"/>
          </w:tcPr>
          <w:p>
            <w:r/>
            <w:r>
              <w:rPr>
                <w:b/>
              </w:rPr>
              <w:t>Remarks</w:t>
            </w:r>
          </w:p>
        </w:tc>
      </w:tr>
      <w:tr>
        <w:tc>
          <w:tcPr>
            <w:tcW w:type="dxa" w:w="2835"/>
          </w:tcPr>
          <w:p>
            <w:r>
              <w:t>Equity shares of Sample Packaging Pvt Ltd (74%)</w:t>
            </w:r>
          </w:p>
        </w:tc>
        <w:tc>
          <w:tcPr>
            <w:tcW w:type="dxa" w:w="1701"/>
          </w:tcPr>
          <w:p>
            <w:r>
              <w:t>Unlisted equity</w:t>
            </w:r>
          </w:p>
        </w:tc>
        <w:tc>
          <w:tcPr>
            <w:tcW w:type="dxa" w:w="1417"/>
          </w:tcPr>
          <w:p>
            <w:pPr>
              <w:jc w:val="right"/>
            </w:pPr>
            <w:r>
              <w:t>40.00</w:t>
            </w:r>
          </w:p>
        </w:tc>
        <w:tc>
          <w:tcPr>
            <w:tcW w:type="dxa" w:w="1417"/>
          </w:tcPr>
          <w:p>
            <w:r>
              <w:t>Valuation</w:t>
            </w:r>
          </w:p>
        </w:tc>
        <w:tc>
          <w:tcPr>
            <w:tcW w:type="dxa" w:w="1984"/>
          </w:tcPr>
          <w:p>
            <w:r>
              <w:t>Liquidation value reflects a forced sale of an unlisted stake</w:t>
            </w:r>
          </w:p>
        </w:tc>
      </w:tr>
      <w:tr>
        <w:tc>
          <w:tcPr>
            <w:tcW w:type="dxa" w:w="2835"/>
          </w:tcPr>
          <w:p>
            <w:r>
              <w:t>Trade receivables</w:t>
            </w:r>
          </w:p>
        </w:tc>
        <w:tc>
          <w:tcPr>
            <w:tcW w:type="dxa" w:w="1701"/>
          </w:tcPr>
          <w:p>
            <w:r>
              <w:t>Receivables</w:t>
            </w:r>
          </w:p>
        </w:tc>
        <w:tc>
          <w:tcPr>
            <w:tcW w:type="dxa" w:w="1417"/>
          </w:tcPr>
          <w:p>
            <w:pPr>
              <w:jc w:val="right"/>
            </w:pPr>
            <w:r>
              <w:t>9.60</w:t>
            </w:r>
          </w:p>
        </w:tc>
        <w:tc>
          <w:tcPr>
            <w:tcW w:type="dxa" w:w="1417"/>
          </w:tcPr>
          <w:p>
            <w:r>
              <w:t>Receivables</w:t>
            </w:r>
          </w:p>
        </w:tc>
        <w:tc>
          <w:tcPr>
            <w:tcW w:type="dxa" w:w="1984"/>
          </w:tcPr>
          <w:p>
            <w:r>
              <w:t>See receivables schedule</w:t>
            </w:r>
          </w:p>
        </w:tc>
      </w:tr>
      <w:tr>
        <w:tc>
          <w:tcPr>
            <w:tcW w:type="dxa" w:w="2835"/>
          </w:tcPr>
          <w:p>
            <w:r>
              <w:t>Loan to Sample Trading LLP</w:t>
            </w:r>
          </w:p>
        </w:tc>
        <w:tc>
          <w:tcPr>
            <w:tcW w:type="dxa" w:w="1701"/>
          </w:tcPr>
          <w:p>
            <w:r>
              <w:t>Loans and advances</w:t>
            </w:r>
          </w:p>
        </w:tc>
        <w:tc>
          <w:tcPr>
            <w:tcW w:type="dxa" w:w="1417"/>
          </w:tcPr>
          <w:p>
            <w:pPr>
              <w:jc w:val="right"/>
            </w:pPr>
            <w:r>
              <w:t>3.00</w:t>
            </w:r>
          </w:p>
        </w:tc>
        <w:tc>
          <w:tcPr>
            <w:tcW w:type="dxa" w:w="1417"/>
          </w:tcPr>
          <w:p>
            <w:r>
              <w:t>Input</w:t>
            </w:r>
          </w:p>
        </w:tc>
        <w:tc>
          <w:tcPr>
            <w:tcW w:type="dxa" w:w="1984"/>
          </w:tcPr>
          <w:p>
            <w:r>
              <w:t>Related party; not serviced since 2024</w:t>
            </w:r>
          </w:p>
        </w:tc>
      </w:tr>
      <w:tr>
        <w:tc>
          <w:tcPr>
            <w:tcW w:type="dxa" w:w="2835"/>
          </w:tcPr>
          <w:p>
            <w:r>
              <w:t>Units of a debt mutual fund</w:t>
            </w:r>
          </w:p>
        </w:tc>
        <w:tc>
          <w:tcPr>
            <w:tcW w:type="dxa" w:w="1701"/>
          </w:tcPr>
          <w:p>
            <w:r>
              <w:t>Mutual fund units</w:t>
            </w:r>
          </w:p>
        </w:tc>
        <w:tc>
          <w:tcPr>
            <w:tcW w:type="dxa" w:w="1417"/>
          </w:tcPr>
          <w:p>
            <w:pPr>
              <w:jc w:val="right"/>
            </w:pPr>
            <w:r>
              <w:t>4.00</w:t>
            </w:r>
          </w:p>
        </w:tc>
        <w:tc>
          <w:tcPr>
            <w:tcW w:type="dxa" w:w="1417"/>
          </w:tcPr>
          <w:p>
            <w:r>
              <w:t>Input</w:t>
            </w:r>
          </w:p>
        </w:tc>
        <w:tc>
          <w:tcPr>
            <w:tcW w:type="dxa" w:w="1984"/>
          </w:tcPr>
          <w:p>
            <w:r>
              <w:t>NAV as on the valuation date</w:t>
            </w:r>
          </w:p>
        </w:tc>
      </w:tr>
      <w:tr>
        <w:tc>
          <w:tcPr>
            <w:tcW w:type="dxa" w:w="2835"/>
          </w:tcPr>
          <w:p>
            <w:r>
              <w:t>Balances with banks</w:t>
            </w:r>
          </w:p>
        </w:tc>
        <w:tc>
          <w:tcPr>
            <w:tcW w:type="dxa" w:w="1701"/>
          </w:tcPr>
          <w:p>
            <w:r>
              <w:t>Cash and bank</w:t>
            </w:r>
          </w:p>
        </w:tc>
        <w:tc>
          <w:tcPr>
            <w:tcW w:type="dxa" w:w="1417"/>
          </w:tcPr>
          <w:p>
            <w:pPr>
              <w:jc w:val="right"/>
            </w:pPr>
            <w:r>
              <w:t>1.35</w:t>
            </w:r>
          </w:p>
        </w:tc>
        <w:tc>
          <w:tcPr>
            <w:tcW w:type="dxa" w:w="1417"/>
          </w:tcPr>
          <w:p>
            <w:r>
              <w:t>Input</w:t>
            </w:r>
          </w:p>
        </w:tc>
        <w:tc>
          <w:tcPr>
            <w:tcW w:type="dxa" w:w="1984"/>
          </w:tcPr>
          <w:p>
            <w:r/>
          </w:p>
        </w:tc>
      </w:tr>
    </w:tbl>
    <w:p/>
    <w:p>
      <w:pPr>
        <w:pStyle w:val="Heading2"/>
      </w:pPr>
      <w:r>
        <w:t>h) Background and Other Relevant Information about the Asset Being Valued</w:t>
      </w:r>
    </w:p>
    <w:p>
      <w:r>
        <w:t>The corporate debtor holds 1,48,00,000 equity shares of INR 10 each in Sample Packaging Private Limited, an unlisted company with no trading history. The shares are held in dematerialised form and are not pledged. Trade receivables are spread across six customers. A loan was given to a related party, Sample Trading LLP, which has not serviced it since 2024. Surplus cash is held in a debt mutual fund and bank accounts.</w:t>
      </w:r>
    </w:p>
    <w:p>
      <w:pPr>
        <w:pStyle w:val="Heading2"/>
      </w:pPr>
      <w:r>
        <w:t>i) Valuation Currency(ies) and Measurement</w:t>
      </w:r>
    </w:p>
    <w:p>
      <w:r>
        <w:t>Valuation currency: INR. Amounts are in INR crore unless stated otherwise.</w:t>
      </w:r>
    </w:p>
    <w:p>
      <w:pPr>
        <w:pStyle w:val="Heading2"/>
      </w:pPr>
      <w:r>
        <w:t>j) Sources of Information</w:t>
      </w:r>
    </w:p>
    <w:p>
      <w:pPr>
        <w:pStyle w:val="ListBullet"/>
      </w:pPr>
      <w:r>
        <w:t>Audited financial statements of the corporate debtor and the subsidiary for FY24 to FY26</w:t>
      </w:r>
    </w:p>
    <w:p>
      <w:pPr>
        <w:pStyle w:val="ListBullet"/>
      </w:pPr>
      <w:r>
        <w:t>Projections for FY27 to FY31 prepared by subsidiary management</w:t>
      </w:r>
    </w:p>
    <w:p>
      <w:pPr>
        <w:pStyle w:val="ListBullet"/>
      </w:pPr>
      <w:r>
        <w:t>Shareholding pattern and demat statement</w:t>
      </w:r>
    </w:p>
    <w:p>
      <w:pPr>
        <w:pStyle w:val="ListBullet"/>
      </w:pPr>
      <w:r>
        <w:t>Receivables ledger and ageing as on the insolvency commencement date</w:t>
      </w:r>
    </w:p>
    <w:p>
      <w:pPr>
        <w:pStyle w:val="ListBullet"/>
      </w:pPr>
      <w:r>
        <w:t>Bank statements and mutual fund account statement</w:t>
      </w:r>
    </w:p>
    <w:p>
      <w:pPr>
        <w:pStyle w:val="ListBullet"/>
      </w:pPr>
      <w:r>
        <w:t>Discussions with management along with the resolution professional</w:t>
      </w:r>
    </w:p>
    <w:p>
      <w:pPr>
        <w:pStyle w:val="Heading2"/>
      </w:pPr>
      <w:r>
        <w:t>k) Basis(es) and Premise of Value Adopted</w:t>
      </w:r>
    </w:p>
    <w:p>
      <w:pPr>
        <w:pStyle w:val="Heading3"/>
      </w:pPr>
      <w:r>
        <w:t>Basis Adopted</w:t>
      </w:r>
    </w:p>
    <w:tbl>
      <w:tblPr>
        <w:tblStyle w:val="TableGrid"/>
        <w:tblW w:type="auto" w:w="0"/>
        <w:jc w:val="center"/>
        <w:tblLayout w:type="fixed"/>
        <w:tblLook w:firstColumn="1" w:firstRow="1" w:lastColumn="0" w:lastRow="0" w:noHBand="0" w:noVBand="1" w:val="04A0"/>
      </w:tblPr>
      <w:tblGrid>
        <w:gridCol w:w="5669"/>
        <w:gridCol w:w="3685"/>
      </w:tblGrid>
      <w:tr>
        <w:tc>
          <w:tcPr>
            <w:tcW w:type="dxa" w:w="5669"/>
            <w:shd w:val="clear" w:color="auto" w:fill="D9E2F3"/>
          </w:tcPr>
          <w:p>
            <w:r/>
            <w:r>
              <w:rPr>
                <w:b/>
              </w:rPr>
              <w:t>Valuation Purpose</w:t>
            </w:r>
          </w:p>
        </w:tc>
        <w:tc>
          <w:tcPr>
            <w:tcW w:type="dxa" w:w="3685"/>
            <w:shd w:val="clear" w:color="auto" w:fill="D9E2F3"/>
          </w:tcPr>
          <w:p>
            <w:r/>
            <w:r>
              <w:rPr>
                <w:b/>
              </w:rPr>
              <w:t>Basis</w:t>
            </w:r>
          </w:p>
        </w:tc>
      </w:tr>
      <w:tr>
        <w:tc>
          <w:tcPr>
            <w:tcW w:type="dxa" w:w="5669"/>
          </w:tcPr>
          <w:p>
            <w:r>
              <w:t>Determination of fair value under the IBC</w:t>
            </w:r>
          </w:p>
        </w:tc>
        <w:tc>
          <w:tcPr>
            <w:tcW w:type="dxa" w:w="3685"/>
          </w:tcPr>
          <w:p>
            <w:r>
              <w:t>Fair value</w:t>
            </w:r>
          </w:p>
        </w:tc>
      </w:tr>
      <w:tr>
        <w:tc>
          <w:tcPr>
            <w:tcW w:type="dxa" w:w="5669"/>
          </w:tcPr>
          <w:p>
            <w:r>
              <w:t>Determination of liquidation value under the IBC</w:t>
            </w:r>
          </w:p>
        </w:tc>
        <w:tc>
          <w:tcPr>
            <w:tcW w:type="dxa" w:w="3685"/>
          </w:tcPr>
          <w:p>
            <w:r>
              <w:t>Liquidation value</w:t>
            </w:r>
          </w:p>
        </w:tc>
      </w:tr>
    </w:tbl>
    <w:p/>
    <w:p>
      <w:r>
        <w:t>The basis of valuations under IBC is to determine the fair value and liquidation value as per relevant regulations.</w:t>
      </w:r>
    </w:p>
    <w:p>
      <w:pPr>
        <w:pStyle w:val="Heading3"/>
      </w:pPr>
      <w:r>
        <w:t>Premise Adopted</w:t>
      </w:r>
    </w:p>
    <w:tbl>
      <w:tblPr>
        <w:tblStyle w:val="TableGrid"/>
        <w:tblW w:type="auto" w:w="0"/>
        <w:jc w:val="center"/>
        <w:tblLayout w:type="fixed"/>
        <w:tblLook w:firstColumn="1" w:firstRow="1" w:lastColumn="0" w:lastRow="0" w:noHBand="0" w:noVBand="1" w:val="04A0"/>
      </w:tblPr>
      <w:tblGrid>
        <w:gridCol w:w="3402"/>
        <w:gridCol w:w="2268"/>
        <w:gridCol w:w="3685"/>
      </w:tblGrid>
      <w:tr>
        <w:tc>
          <w:tcPr>
            <w:tcW w:type="dxa" w:w="3402"/>
            <w:shd w:val="clear" w:color="auto" w:fill="D9E2F3"/>
          </w:tcPr>
          <w:p>
            <w:r/>
            <w:r>
              <w:rPr>
                <w:b/>
              </w:rPr>
              <w:t>Asset Type</w:t>
            </w:r>
          </w:p>
        </w:tc>
        <w:tc>
          <w:tcPr>
            <w:tcW w:type="dxa" w:w="2268"/>
            <w:shd w:val="clear" w:color="auto" w:fill="D9E2F3"/>
          </w:tcPr>
          <w:p>
            <w:r/>
            <w:r>
              <w:rPr>
                <w:b/>
              </w:rPr>
              <w:t>Premise Adopted</w:t>
            </w:r>
          </w:p>
        </w:tc>
        <w:tc>
          <w:tcPr>
            <w:tcW w:type="dxa" w:w="3685"/>
            <w:shd w:val="clear" w:color="auto" w:fill="D9E2F3"/>
          </w:tcPr>
          <w:p>
            <w:r/>
            <w:r>
              <w:rPr>
                <w:b/>
              </w:rPr>
              <w:t>Remarks/Justification</w:t>
            </w:r>
          </w:p>
        </w:tc>
      </w:tr>
      <w:tr>
        <w:tc>
          <w:tcPr>
            <w:tcW w:type="dxa" w:w="3402"/>
          </w:tcPr>
          <w:p>
            <w:r>
              <w:t>Equity shares of Sample Packaging Pvt Ltd (74%)</w:t>
            </w:r>
          </w:p>
        </w:tc>
        <w:tc>
          <w:tcPr>
            <w:tcW w:type="dxa" w:w="2268"/>
          </w:tcPr>
          <w:p>
            <w:r>
              <w:t>Going concern</w:t>
            </w:r>
          </w:p>
        </w:tc>
        <w:tc>
          <w:tcPr>
            <w:tcW w:type="dxa" w:w="3685"/>
          </w:tcPr>
          <w:p>
            <w:r>
              <w:t>Liquidation value reflects a forced sale of an unlisted stake</w:t>
            </w:r>
          </w:p>
        </w:tc>
      </w:tr>
      <w:tr>
        <w:tc>
          <w:tcPr>
            <w:tcW w:type="dxa" w:w="3402"/>
          </w:tcPr>
          <w:p>
            <w:r>
              <w:t>Trade receivables</w:t>
            </w:r>
          </w:p>
        </w:tc>
        <w:tc>
          <w:tcPr>
            <w:tcW w:type="dxa" w:w="2268"/>
          </w:tcPr>
          <w:p>
            <w:r>
              <w:t>Orderly realisation</w:t>
            </w:r>
          </w:p>
        </w:tc>
        <w:tc>
          <w:tcPr>
            <w:tcW w:type="dxa" w:w="3685"/>
          </w:tcPr>
          <w:p>
            <w:r>
              <w:t>See receivables schedule</w:t>
            </w:r>
          </w:p>
        </w:tc>
      </w:tr>
      <w:tr>
        <w:tc>
          <w:tcPr>
            <w:tcW w:type="dxa" w:w="3402"/>
          </w:tcPr>
          <w:p>
            <w:r>
              <w:t>Loan to Sample Trading LLP</w:t>
            </w:r>
          </w:p>
        </w:tc>
        <w:tc>
          <w:tcPr>
            <w:tcW w:type="dxa" w:w="2268"/>
          </w:tcPr>
          <w:p>
            <w:r>
              <w:t>Orderly realisation</w:t>
            </w:r>
          </w:p>
        </w:tc>
        <w:tc>
          <w:tcPr>
            <w:tcW w:type="dxa" w:w="3685"/>
          </w:tcPr>
          <w:p>
            <w:r>
              <w:t>Related party; not serviced since 2024</w:t>
            </w:r>
          </w:p>
        </w:tc>
      </w:tr>
      <w:tr>
        <w:tc>
          <w:tcPr>
            <w:tcW w:type="dxa" w:w="3402"/>
          </w:tcPr>
          <w:p>
            <w:r>
              <w:t>Units of a debt mutual fund</w:t>
            </w:r>
          </w:p>
        </w:tc>
        <w:tc>
          <w:tcPr>
            <w:tcW w:type="dxa" w:w="2268"/>
          </w:tcPr>
          <w:p>
            <w:r>
              <w:t>Market value</w:t>
            </w:r>
          </w:p>
        </w:tc>
        <w:tc>
          <w:tcPr>
            <w:tcW w:type="dxa" w:w="3685"/>
          </w:tcPr>
          <w:p>
            <w:r>
              <w:t>NAV as on the valuation date</w:t>
            </w:r>
          </w:p>
        </w:tc>
      </w:tr>
      <w:tr>
        <w:tc>
          <w:tcPr>
            <w:tcW w:type="dxa" w:w="3402"/>
          </w:tcPr>
          <w:p>
            <w:r>
              <w:t>Balances with banks</w:t>
            </w:r>
          </w:p>
        </w:tc>
        <w:tc>
          <w:tcPr>
            <w:tcW w:type="dxa" w:w="2268"/>
          </w:tcPr>
          <w:p>
            <w:r>
              <w:t>Face value</w:t>
            </w:r>
          </w:p>
        </w:tc>
        <w:tc>
          <w:tcPr>
            <w:tcW w:type="dxa" w:w="3685"/>
          </w:tcPr>
          <w:p>
            <w:r>
              <w:t>-</w:t>
            </w:r>
          </w:p>
        </w:tc>
      </w:tr>
    </w:tbl>
    <w:p/>
    <w:p>
      <w:pPr>
        <w:pStyle w:val="Heading2"/>
      </w:pPr>
      <w:r>
        <w:t>l) Valuation Standards Followed</w:t>
      </w:r>
    </w:p>
    <w:p>
      <w:r>
        <w:t>[SAMPLE] Valuation Standards notified by the Board. The valuer lists each standard and section applied here.</w:t>
      </w:r>
    </w:p>
    <w:p>
      <w:pPr>
        <w:pStyle w:val="Heading2"/>
      </w:pPr>
      <w:r>
        <w:t>m) Valuation Approaches and Methods or Valuation Model(s) Applied</w:t>
      </w:r>
    </w:p>
    <w:p>
      <w:r>
        <w:t>The income approach values the subsidiary on the cash flows it is expected to generate, using a discounted cash flow of free cash flow to the firm. The market approach values it on multiples of comparable listed companies. The cost approach is not used for the subsidiary because it does not reflect its earning capacity as a going concern.</w:t>
      </w:r>
    </w:p>
    <w:tbl>
      <w:tblPr>
        <w:tblStyle w:val="TableGrid"/>
        <w:tblW w:type="auto" w:w="0"/>
        <w:jc w:val="center"/>
        <w:tblLayout w:type="fixed"/>
        <w:tblLook w:firstColumn="1" w:firstRow="1" w:lastColumn="0" w:lastRow="0" w:noHBand="0" w:noVBand="1" w:val="04A0"/>
      </w:tblPr>
      <w:tblGrid>
        <w:gridCol w:w="1247"/>
        <w:gridCol w:w="1134"/>
        <w:gridCol w:w="2268"/>
        <w:gridCol w:w="1020"/>
        <w:gridCol w:w="3685"/>
      </w:tblGrid>
      <w:tr>
        <w:tc>
          <w:tcPr>
            <w:tcW w:type="dxa" w:w="1247"/>
            <w:shd w:val="clear" w:color="auto" w:fill="D9E2F3"/>
          </w:tcPr>
          <w:p>
            <w:r/>
            <w:r>
              <w:rPr>
                <w:b/>
              </w:rPr>
              <w:t>Approach</w:t>
            </w:r>
          </w:p>
        </w:tc>
        <w:tc>
          <w:tcPr>
            <w:tcW w:type="dxa" w:w="1134"/>
            <w:shd w:val="clear" w:color="auto" w:fill="D9E2F3"/>
          </w:tcPr>
          <w:p>
            <w:r/>
            <w:r>
              <w:rPr>
                <w:b/>
              </w:rPr>
              <w:t>Applicable</w:t>
            </w:r>
          </w:p>
        </w:tc>
        <w:tc>
          <w:tcPr>
            <w:tcW w:type="dxa" w:w="2268"/>
            <w:shd w:val="clear" w:color="auto" w:fill="D9E2F3"/>
          </w:tcPr>
          <w:p>
            <w:r/>
            <w:r>
              <w:rPr>
                <w:b/>
              </w:rPr>
              <w:t>Method adopted</w:t>
            </w:r>
          </w:p>
        </w:tc>
        <w:tc>
          <w:tcPr>
            <w:tcW w:type="dxa" w:w="1020"/>
            <w:shd w:val="clear" w:color="auto" w:fill="D9E2F3"/>
          </w:tcPr>
          <w:p>
            <w:r/>
            <w:r>
              <w:rPr>
                <w:b/>
              </w:rPr>
              <w:t>Weight</w:t>
            </w:r>
          </w:p>
        </w:tc>
        <w:tc>
          <w:tcPr>
            <w:tcW w:type="dxa" w:w="3685"/>
            <w:shd w:val="clear" w:color="auto" w:fill="D9E2F3"/>
          </w:tcPr>
          <w:p>
            <w:r/>
            <w:r>
              <w:rPr>
                <w:b/>
              </w:rPr>
              <w:t>Reason</w:t>
            </w:r>
          </w:p>
        </w:tc>
      </w:tr>
      <w:tr>
        <w:tc>
          <w:tcPr>
            <w:tcW w:type="dxa" w:w="1247"/>
          </w:tcPr>
          <w:p>
            <w:r>
              <w:t>Income</w:t>
            </w:r>
          </w:p>
        </w:tc>
        <w:tc>
          <w:tcPr>
            <w:tcW w:type="dxa" w:w="1134"/>
          </w:tcPr>
          <w:p>
            <w:r>
              <w:t>Yes</w:t>
            </w:r>
          </w:p>
        </w:tc>
        <w:tc>
          <w:tcPr>
            <w:tcW w:type="dxa" w:w="2268"/>
          </w:tcPr>
          <w:p>
            <w:r>
              <w:t>Discounted cash flow (FCFF)</w:t>
            </w:r>
          </w:p>
        </w:tc>
        <w:tc>
          <w:tcPr>
            <w:tcW w:type="dxa" w:w="1020"/>
          </w:tcPr>
          <w:p>
            <w:pPr>
              <w:jc w:val="right"/>
            </w:pPr>
            <w:r>
              <w:t>60%</w:t>
            </w:r>
          </w:p>
        </w:tc>
        <w:tc>
          <w:tcPr>
            <w:tcW w:type="dxa" w:w="3685"/>
          </w:tcPr>
          <w:p>
            <w:r>
              <w:t>Management projections are available and were discussed with the Committee of Creditors.</w:t>
            </w:r>
          </w:p>
        </w:tc>
      </w:tr>
      <w:tr>
        <w:tc>
          <w:tcPr>
            <w:tcW w:type="dxa" w:w="1247"/>
          </w:tcPr>
          <w:p>
            <w:r>
              <w:t>Market</w:t>
            </w:r>
          </w:p>
        </w:tc>
        <w:tc>
          <w:tcPr>
            <w:tcW w:type="dxa" w:w="1134"/>
          </w:tcPr>
          <w:p>
            <w:r>
              <w:t>Yes</w:t>
            </w:r>
          </w:p>
        </w:tc>
        <w:tc>
          <w:tcPr>
            <w:tcW w:type="dxa" w:w="2268"/>
          </w:tcPr>
          <w:p>
            <w:r>
              <w:t>Comparable companies (EV/EBITDA)</w:t>
            </w:r>
          </w:p>
        </w:tc>
        <w:tc>
          <w:tcPr>
            <w:tcW w:type="dxa" w:w="1020"/>
          </w:tcPr>
          <w:p>
            <w:pPr>
              <w:jc w:val="right"/>
            </w:pPr>
            <w:r>
              <w:t>40%</w:t>
            </w:r>
          </w:p>
        </w:tc>
        <w:tc>
          <w:tcPr>
            <w:tcW w:type="dxa" w:w="3685"/>
          </w:tcPr>
          <w:p>
            <w:r>
              <w:t>Listed packaging companies with similar operations exist.</w:t>
            </w:r>
          </w:p>
        </w:tc>
      </w:tr>
      <w:tr>
        <w:tc>
          <w:tcPr>
            <w:tcW w:type="dxa" w:w="1247"/>
          </w:tcPr>
          <w:p>
            <w:r>
              <w:t>Cost</w:t>
            </w:r>
          </w:p>
        </w:tc>
        <w:tc>
          <w:tcPr>
            <w:tcW w:type="dxa" w:w="1134"/>
          </w:tcPr>
          <w:p>
            <w:r>
              <w:t>No</w:t>
            </w:r>
          </w:p>
        </w:tc>
        <w:tc>
          <w:tcPr>
            <w:tcW w:type="dxa" w:w="2268"/>
          </w:tcPr>
          <w:p>
            <w:r>
              <w:t>Adjusted net asset value</w:t>
            </w:r>
          </w:p>
        </w:tc>
        <w:tc>
          <w:tcPr>
            <w:tcW w:type="dxa" w:w="1020"/>
          </w:tcPr>
          <w:p>
            <w:r>
              <w:t>-</w:t>
            </w:r>
          </w:p>
        </w:tc>
        <w:tc>
          <w:tcPr>
            <w:tcW w:type="dxa" w:w="3685"/>
          </w:tcPr>
          <w:p>
            <w:r>
              <w:t>Not adopted: net assets do not reflect the subsidiary's earning capacity as a going concern.</w:t>
            </w:r>
          </w:p>
        </w:tc>
      </w:tr>
    </w:tbl>
    <w:p/>
    <w:p>
      <w:pPr>
        <w:pStyle w:val="Heading3"/>
      </w:pPr>
      <w:r>
        <w:t>Meetings with the Committee of Creditors</w:t>
      </w:r>
    </w:p>
    <w:p>
      <w:r>
        <w:t>The methodology was explained to the Committee of Creditors at its meeting on 25/05/2026.</w:t>
      </w:r>
    </w:p>
    <w:p>
      <w:pPr>
        <w:pStyle w:val="Heading2"/>
      </w:pPr>
      <w:r>
        <w:t>n) Relevant discounts and premiums</w:t>
      </w:r>
    </w:p>
    <w:tbl>
      <w:tblPr>
        <w:tblStyle w:val="TableGrid"/>
        <w:tblW w:type="auto" w:w="0"/>
        <w:jc w:val="center"/>
        <w:tblLayout w:type="fixed"/>
        <w:tblLook w:firstColumn="1" w:firstRow="1" w:lastColumn="0" w:lastRow="0" w:noHBand="0" w:noVBand="1" w:val="04A0"/>
      </w:tblPr>
      <w:tblGrid>
        <w:gridCol w:w="2835"/>
        <w:gridCol w:w="4819"/>
        <w:gridCol w:w="1701"/>
      </w:tblGrid>
      <w:tr>
        <w:tc>
          <w:tcPr>
            <w:tcW w:type="dxa" w:w="2835"/>
            <w:shd w:val="clear" w:color="auto" w:fill="D9E2F3"/>
          </w:tcPr>
          <w:p>
            <w:r/>
            <w:r>
              <w:rPr>
                <w:b/>
              </w:rPr>
              <w:t>Adjustment</w:t>
            </w:r>
          </w:p>
        </w:tc>
        <w:tc>
          <w:tcPr>
            <w:tcW w:type="dxa" w:w="4819"/>
            <w:shd w:val="clear" w:color="auto" w:fill="D9E2F3"/>
          </w:tcPr>
          <w:p>
            <w:r/>
            <w:r>
              <w:rPr>
                <w:b/>
              </w:rPr>
              <w:t>Applied to</w:t>
            </w:r>
          </w:p>
        </w:tc>
        <w:tc>
          <w:tcPr>
            <w:tcW w:type="dxa" w:w="1701"/>
            <w:shd w:val="clear" w:color="auto" w:fill="D9E2F3"/>
          </w:tcPr>
          <w:p>
            <w:r/>
            <w:r>
              <w:rPr>
                <w:b/>
              </w:rPr>
              <w:t>Rate</w:t>
            </w:r>
          </w:p>
        </w:tc>
      </w:tr>
      <w:tr>
        <w:tc>
          <w:tcPr>
            <w:tcW w:type="dxa" w:w="2835"/>
          </w:tcPr>
          <w:p>
            <w:r>
              <w:t>Discount for lack of marketability</w:t>
            </w:r>
          </w:p>
        </w:tc>
        <w:tc>
          <w:tcPr>
            <w:tcW w:type="dxa" w:w="4819"/>
          </w:tcPr>
          <w:p>
            <w:r>
              <w:t>Concluded equity value of the valued entity</w:t>
            </w:r>
          </w:p>
        </w:tc>
        <w:tc>
          <w:tcPr>
            <w:tcW w:type="dxa" w:w="1701"/>
          </w:tcPr>
          <w:p>
            <w:pPr>
              <w:jc w:val="right"/>
            </w:pPr>
            <w:r>
              <w:t>15.00%</w:t>
            </w:r>
          </w:p>
        </w:tc>
      </w:tr>
      <w:tr>
        <w:tc>
          <w:tcPr>
            <w:tcW w:type="dxa" w:w="2835"/>
          </w:tcPr>
          <w:p>
            <w:r>
              <w:t>Liquidation discount</w:t>
            </w:r>
          </w:p>
        </w:tc>
        <w:tc>
          <w:tcPr>
            <w:tcW w:type="dxa" w:w="4819"/>
          </w:tcPr>
          <w:p>
            <w:r>
              <w:t>Equity shares of Sample Packaging Pvt Ltd (74%)</w:t>
            </w:r>
          </w:p>
        </w:tc>
        <w:tc>
          <w:tcPr>
            <w:tcW w:type="dxa" w:w="1701"/>
          </w:tcPr>
          <w:p>
            <w:pPr>
              <w:jc w:val="right"/>
            </w:pPr>
            <w:r>
              <w:t>45.00%</w:t>
            </w:r>
          </w:p>
        </w:tc>
      </w:tr>
      <w:tr>
        <w:tc>
          <w:tcPr>
            <w:tcW w:type="dxa" w:w="2835"/>
          </w:tcPr>
          <w:p>
            <w:r>
              <w:t>Liquidation discount</w:t>
            </w:r>
          </w:p>
        </w:tc>
        <w:tc>
          <w:tcPr>
            <w:tcW w:type="dxa" w:w="4819"/>
          </w:tcPr>
          <w:p>
            <w:r>
              <w:t>Loan to Sample Trading LLP</w:t>
            </w:r>
          </w:p>
        </w:tc>
        <w:tc>
          <w:tcPr>
            <w:tcW w:type="dxa" w:w="1701"/>
          </w:tcPr>
          <w:p>
            <w:pPr>
              <w:jc w:val="right"/>
            </w:pPr>
            <w:r>
              <w:t>50.00%</w:t>
            </w:r>
          </w:p>
        </w:tc>
      </w:tr>
      <w:tr>
        <w:tc>
          <w:tcPr>
            <w:tcW w:type="dxa" w:w="2835"/>
          </w:tcPr>
          <w:p>
            <w:r>
              <w:t>Liquidation discount</w:t>
            </w:r>
          </w:p>
        </w:tc>
        <w:tc>
          <w:tcPr>
            <w:tcW w:type="dxa" w:w="4819"/>
          </w:tcPr>
          <w:p>
            <w:r>
              <w:t>Units of a debt mutual fund</w:t>
            </w:r>
          </w:p>
        </w:tc>
        <w:tc>
          <w:tcPr>
            <w:tcW w:type="dxa" w:w="1701"/>
          </w:tcPr>
          <w:p>
            <w:pPr>
              <w:jc w:val="right"/>
            </w:pPr>
            <w:r>
              <w:t>2.00%</w:t>
            </w:r>
          </w:p>
        </w:tc>
      </w:tr>
      <w:tr>
        <w:tc>
          <w:tcPr>
            <w:tcW w:type="dxa" w:w="2835"/>
          </w:tcPr>
          <w:p>
            <w:r>
              <w:t>Receivable recovery haircuts</w:t>
            </w:r>
          </w:p>
        </w:tc>
        <w:tc>
          <w:tcPr>
            <w:tcW w:type="dxa" w:w="4819"/>
          </w:tcPr>
          <w:p>
            <w:r>
              <w:t>Trade receivables</w:t>
            </w:r>
          </w:p>
        </w:tc>
        <w:tc>
          <w:tcPr>
            <w:tcW w:type="dxa" w:w="1701"/>
          </w:tcPr>
          <w:p>
            <w:r>
              <w:t>See Annexure B</w:t>
            </w:r>
          </w:p>
        </w:tc>
      </w:tr>
    </w:tbl>
    <w:p/>
    <w:p>
      <w:r>
        <w:t>A 15% discount for lack of marketability is applied to the subsidiary's equity value because the shares are unlisted and a minority buyer would face a long sale process. Liquidation values apply recovery percentages that reflect a forced sale within the liquidation timeline.</w:t>
      </w:r>
    </w:p>
    <w:p>
      <w:pPr>
        <w:pStyle w:val="Heading2"/>
      </w:pPr>
      <w:r>
        <w:t>o) Sources of Data and Inputs used along with rationale/justification</w:t>
      </w:r>
    </w:p>
    <w:p>
      <w:pPr>
        <w:pStyle w:val="ListBullet"/>
      </w:pPr>
      <w:r>
        <w:t>Risk-free rate: yield on 10-year government securities</w:t>
      </w:r>
    </w:p>
    <w:p>
      <w:pPr>
        <w:pStyle w:val="ListBullet"/>
      </w:pPr>
      <w:r>
        <w:t>Equity risk premium and beta: published market studies and comparable companies</w:t>
      </w:r>
    </w:p>
    <w:p>
      <w:pPr>
        <w:pStyle w:val="ListBullet"/>
      </w:pPr>
      <w:r>
        <w:t>Comparable listed companies: five packaging companies (illustrative peers)</w:t>
      </w:r>
    </w:p>
    <w:p>
      <w:pPr>
        <w:pStyle w:val="ListBullet"/>
      </w:pPr>
      <w:r>
        <w:t>Projections: subsidiary management, discussed with the Committee of Creditors</w:t>
      </w:r>
    </w:p>
    <w:p>
      <w:r>
        <w:t>Comparable company data and the multiples derived from it are set out in Annexure A.</w:t>
      </w:r>
    </w:p>
    <w:p>
      <w:pPr>
        <w:pStyle w:val="Heading2"/>
      </w:pPr>
      <w:r>
        <w:t>p) Description of Inspections and/or Investigations Undertaken</w:t>
      </w:r>
    </w:p>
    <w:p>
      <w:pPr>
        <w:pStyle w:val="ListBullet"/>
      </w:pPr>
      <w:r>
        <w:t>Visit to the registered office on 05/05/2026</w:t>
      </w:r>
    </w:p>
    <w:p>
      <w:pPr>
        <w:pStyle w:val="ListBullet"/>
      </w:pPr>
      <w:r>
        <w:t>Management interviews</w:t>
      </w:r>
    </w:p>
    <w:p>
      <w:pPr>
        <w:pStyle w:val="ListBullet"/>
      </w:pPr>
      <w:r>
        <w:t>Review of the loan agreement with Sample Trading LLP and customer contracts</w:t>
      </w:r>
    </w:p>
    <w:p>
      <w:pPr>
        <w:pStyle w:val="Heading2"/>
      </w:pPr>
      <w:r>
        <w:t>q) Assessment of Sustainability and Functional Factors Considered</w:t>
      </w:r>
    </w:p>
    <w:p>
      <w:r>
        <w:t>Governance: the subsidiary has a three-member board and clean audit reports. Customers: the top three customers make up about half of revenue. Business risks: polymer price volatility and customer concentration.</w:t>
      </w:r>
    </w:p>
    <w:p>
      <w:pPr>
        <w:pStyle w:val="Heading2"/>
      </w:pPr>
      <w:r>
        <w:t>r) Significant or Special Assumptions, and/or Limiting Conditions</w:t>
      </w:r>
    </w:p>
    <w:p>
      <w:pPr>
        <w:pStyle w:val="ListBullet"/>
      </w:pPr>
      <w:r>
        <w:t>Reliance on management representations for projections</w:t>
      </w:r>
    </w:p>
    <w:p>
      <w:pPr>
        <w:pStyle w:val="ListBullet"/>
      </w:pPr>
      <w:r>
        <w:t>No contingent liabilities beyond those disclosed in the audited accounts</w:t>
      </w:r>
    </w:p>
    <w:p>
      <w:pPr>
        <w:pStyle w:val="ListBullet"/>
      </w:pPr>
      <w:r>
        <w:t>No pending litigation affecting the subsidiary's shares</w:t>
      </w:r>
    </w:p>
    <w:p>
      <w:pPr>
        <w:pStyle w:val="Heading3"/>
      </w:pPr>
      <w:r>
        <w:t>Model conventions</w:t>
      </w:r>
    </w:p>
    <w:p>
      <w:pPr>
        <w:pStyle w:val="ListBullet"/>
      </w:pPr>
      <w:r>
        <w:t>The valuation date is taken as the start of the first projected year.</w:t>
      </w:r>
    </w:p>
    <w:p>
      <w:pPr>
        <w:pStyle w:val="ListBullet"/>
      </w:pPr>
      <w:r>
        <w:t>Cash flows are discounted from the middle of each year.</w:t>
      </w:r>
    </w:p>
    <w:p>
      <w:pPr>
        <w:pStyle w:val="ListBullet"/>
      </w:pPr>
      <w:r>
        <w:t>The terminal value uses the Gordon growth method on the final year's free cash flow and is discounted from the end of the final projected year.</w:t>
      </w:r>
    </w:p>
    <w:p>
      <w:pPr>
        <w:pStyle w:val="Heading2"/>
      </w:pPr>
      <w:r>
        <w:t>s) Value and Rationale for Valuation</w:t>
      </w:r>
    </w:p>
    <w:tbl>
      <w:tblPr>
        <w:tblStyle w:val="TableGrid"/>
        <w:tblW w:type="auto" w:w="0"/>
        <w:jc w:val="center"/>
        <w:tblLayout w:type="fixed"/>
        <w:tblLook w:firstColumn="1" w:firstRow="1" w:lastColumn="0" w:lastRow="0" w:noHBand="0" w:noVBand="1" w:val="04A0"/>
      </w:tblPr>
      <w:tblGrid>
        <w:gridCol w:w="4252"/>
        <w:gridCol w:w="1701"/>
        <w:gridCol w:w="1701"/>
        <w:gridCol w:w="1701"/>
      </w:tblGrid>
      <w:tr>
        <w:tc>
          <w:tcPr>
            <w:tcW w:type="dxa" w:w="4252"/>
            <w:shd w:val="clear" w:color="auto" w:fill="D9E2F3"/>
          </w:tcPr>
          <w:p>
            <w:r/>
            <w:r>
              <w:rPr>
                <w:b/>
              </w:rPr>
              <w:t>Asset</w:t>
            </w:r>
          </w:p>
        </w:tc>
        <w:tc>
          <w:tcPr>
            <w:tcW w:type="dxa" w:w="1701"/>
            <w:shd w:val="clear" w:color="auto" w:fill="D9E2F3"/>
          </w:tcPr>
          <w:p>
            <w:r/>
            <w:r>
              <w:rPr>
                <w:b/>
              </w:rPr>
              <w:t>Book value</w:t>
            </w:r>
          </w:p>
        </w:tc>
        <w:tc>
          <w:tcPr>
            <w:tcW w:type="dxa" w:w="1701"/>
            <w:shd w:val="clear" w:color="auto" w:fill="D9E2F3"/>
          </w:tcPr>
          <w:p>
            <w:r/>
            <w:r>
              <w:rPr>
                <w:b/>
              </w:rPr>
              <w:t>Fair value</w:t>
            </w:r>
          </w:p>
        </w:tc>
        <w:tc>
          <w:tcPr>
            <w:tcW w:type="dxa" w:w="1701"/>
            <w:shd w:val="clear" w:color="auto" w:fill="D9E2F3"/>
          </w:tcPr>
          <w:p>
            <w:r/>
            <w:r>
              <w:rPr>
                <w:b/>
              </w:rPr>
              <w:t>Liquidation value</w:t>
            </w:r>
          </w:p>
        </w:tc>
      </w:tr>
      <w:tr>
        <w:tc>
          <w:tcPr>
            <w:tcW w:type="dxa" w:w="4252"/>
          </w:tcPr>
          <w:p>
            <w:r>
              <w:t>Equity shares of Sample Packaging Pvt Ltd (74%)</w:t>
            </w:r>
          </w:p>
        </w:tc>
        <w:tc>
          <w:tcPr>
            <w:tcW w:type="dxa" w:w="1701"/>
          </w:tcPr>
          <w:p>
            <w:pPr>
              <w:jc w:val="right"/>
            </w:pPr>
            <w:r>
              <w:t>40.00</w:t>
            </w:r>
          </w:p>
        </w:tc>
        <w:tc>
          <w:tcPr>
            <w:tcW w:type="dxa" w:w="1701"/>
          </w:tcPr>
          <w:p>
            <w:pPr>
              <w:jc w:val="right"/>
            </w:pPr>
            <w:r>
              <w:t>43.21</w:t>
            </w:r>
          </w:p>
        </w:tc>
        <w:tc>
          <w:tcPr>
            <w:tcW w:type="dxa" w:w="1701"/>
          </w:tcPr>
          <w:p>
            <w:pPr>
              <w:jc w:val="right"/>
            </w:pPr>
            <w:r>
              <w:t>23.77</w:t>
            </w:r>
          </w:p>
        </w:tc>
      </w:tr>
      <w:tr>
        <w:tc>
          <w:tcPr>
            <w:tcW w:type="dxa" w:w="4252"/>
          </w:tcPr>
          <w:p>
            <w:r>
              <w:t>Trade receivables</w:t>
            </w:r>
          </w:p>
        </w:tc>
        <w:tc>
          <w:tcPr>
            <w:tcW w:type="dxa" w:w="1701"/>
          </w:tcPr>
          <w:p>
            <w:pPr>
              <w:jc w:val="right"/>
            </w:pPr>
            <w:r>
              <w:t>9.60</w:t>
            </w:r>
          </w:p>
        </w:tc>
        <w:tc>
          <w:tcPr>
            <w:tcW w:type="dxa" w:w="1701"/>
          </w:tcPr>
          <w:p>
            <w:pPr>
              <w:jc w:val="right"/>
            </w:pPr>
            <w:r>
              <w:t>7.47</w:t>
            </w:r>
          </w:p>
        </w:tc>
        <w:tc>
          <w:tcPr>
            <w:tcW w:type="dxa" w:w="1701"/>
          </w:tcPr>
          <w:p>
            <w:pPr>
              <w:jc w:val="right"/>
            </w:pPr>
            <w:r>
              <w:t>5.73</w:t>
            </w:r>
          </w:p>
        </w:tc>
      </w:tr>
      <w:tr>
        <w:tc>
          <w:tcPr>
            <w:tcW w:type="dxa" w:w="4252"/>
          </w:tcPr>
          <w:p>
            <w:r>
              <w:t>Loan to Sample Trading LLP</w:t>
            </w:r>
          </w:p>
        </w:tc>
        <w:tc>
          <w:tcPr>
            <w:tcW w:type="dxa" w:w="1701"/>
          </w:tcPr>
          <w:p>
            <w:pPr>
              <w:jc w:val="right"/>
            </w:pPr>
            <w:r>
              <w:t>3.00</w:t>
            </w:r>
          </w:p>
        </w:tc>
        <w:tc>
          <w:tcPr>
            <w:tcW w:type="dxa" w:w="1701"/>
          </w:tcPr>
          <w:p>
            <w:pPr>
              <w:jc w:val="right"/>
            </w:pPr>
            <w:r>
              <w:t>0.90</w:t>
            </w:r>
          </w:p>
        </w:tc>
        <w:tc>
          <w:tcPr>
            <w:tcW w:type="dxa" w:w="1701"/>
          </w:tcPr>
          <w:p>
            <w:pPr>
              <w:jc w:val="right"/>
            </w:pPr>
            <w:r>
              <w:t>0.45</w:t>
            </w:r>
          </w:p>
        </w:tc>
      </w:tr>
      <w:tr>
        <w:tc>
          <w:tcPr>
            <w:tcW w:type="dxa" w:w="4252"/>
          </w:tcPr>
          <w:p>
            <w:r>
              <w:t>Units of a debt mutual fund</w:t>
            </w:r>
          </w:p>
        </w:tc>
        <w:tc>
          <w:tcPr>
            <w:tcW w:type="dxa" w:w="1701"/>
          </w:tcPr>
          <w:p>
            <w:pPr>
              <w:jc w:val="right"/>
            </w:pPr>
            <w:r>
              <w:t>4.00</w:t>
            </w:r>
          </w:p>
        </w:tc>
        <w:tc>
          <w:tcPr>
            <w:tcW w:type="dxa" w:w="1701"/>
          </w:tcPr>
          <w:p>
            <w:pPr>
              <w:jc w:val="right"/>
            </w:pPr>
            <w:r>
              <w:t>4.20</w:t>
            </w:r>
          </w:p>
        </w:tc>
        <w:tc>
          <w:tcPr>
            <w:tcW w:type="dxa" w:w="1701"/>
          </w:tcPr>
          <w:p>
            <w:pPr>
              <w:jc w:val="right"/>
            </w:pPr>
            <w:r>
              <w:t>4.12</w:t>
            </w:r>
          </w:p>
        </w:tc>
      </w:tr>
      <w:tr>
        <w:tc>
          <w:tcPr>
            <w:tcW w:type="dxa" w:w="4252"/>
          </w:tcPr>
          <w:p>
            <w:r>
              <w:t>Balances with banks</w:t>
            </w:r>
          </w:p>
        </w:tc>
        <w:tc>
          <w:tcPr>
            <w:tcW w:type="dxa" w:w="1701"/>
          </w:tcPr>
          <w:p>
            <w:pPr>
              <w:jc w:val="right"/>
            </w:pPr>
            <w:r>
              <w:t>1.35</w:t>
            </w:r>
          </w:p>
        </w:tc>
        <w:tc>
          <w:tcPr>
            <w:tcW w:type="dxa" w:w="1701"/>
          </w:tcPr>
          <w:p>
            <w:pPr>
              <w:jc w:val="right"/>
            </w:pPr>
            <w:r>
              <w:t>1.35</w:t>
            </w:r>
          </w:p>
        </w:tc>
        <w:tc>
          <w:tcPr>
            <w:tcW w:type="dxa" w:w="1701"/>
          </w:tcPr>
          <w:p>
            <w:pPr>
              <w:jc w:val="right"/>
            </w:pPr>
            <w:r>
              <w:t>1.35</w:t>
            </w:r>
          </w:p>
        </w:tc>
      </w:tr>
      <w:tr>
        <w:tc>
          <w:tcPr>
            <w:tcW w:type="dxa" w:w="4252"/>
          </w:tcPr>
          <w:p>
            <w:r>
              <w:rPr>
                <w:b/>
              </w:rPr>
              <w:t>Total (INR crore)</w:t>
            </w:r>
          </w:p>
        </w:tc>
        <w:tc>
          <w:tcPr>
            <w:tcW w:type="dxa" w:w="1701"/>
          </w:tcPr>
          <w:p>
            <w:pPr>
              <w:jc w:val="right"/>
            </w:pPr>
            <w:r>
              <w:rPr>
                <w:b/>
              </w:rPr>
              <w:t>57.95</w:t>
            </w:r>
          </w:p>
        </w:tc>
        <w:tc>
          <w:tcPr>
            <w:tcW w:type="dxa" w:w="1701"/>
          </w:tcPr>
          <w:p>
            <w:pPr>
              <w:jc w:val="right"/>
            </w:pPr>
            <w:r>
              <w:rPr>
                <w:b/>
              </w:rPr>
              <w:t>57.14</w:t>
            </w:r>
          </w:p>
        </w:tc>
        <w:tc>
          <w:tcPr>
            <w:tcW w:type="dxa" w:w="1701"/>
          </w:tcPr>
          <w:p>
            <w:pPr>
              <w:jc w:val="right"/>
            </w:pPr>
            <w:r>
              <w:rPr>
                <w:b/>
              </w:rPr>
              <w:t>35.41</w:t>
            </w:r>
          </w:p>
        </w:tc>
      </w:tr>
    </w:tbl>
    <w:p/>
    <w:p>
      <w:pPr>
        <w:pStyle w:val="Heading3"/>
      </w:pPr>
      <w:r>
        <w:t>Value of the valued entity's equity by approach</w:t>
      </w:r>
    </w:p>
    <w:tbl>
      <w:tblPr>
        <w:tblStyle w:val="TableGrid"/>
        <w:tblW w:type="auto" w:w="0"/>
        <w:jc w:val="center"/>
        <w:tblLayout w:type="fixed"/>
        <w:tblLook w:firstColumn="1" w:firstRow="1" w:lastColumn="0" w:lastRow="0" w:noHBand="0" w:noVBand="1" w:val="04A0"/>
      </w:tblPr>
      <w:tblGrid>
        <w:gridCol w:w="2551"/>
        <w:gridCol w:w="2551"/>
        <w:gridCol w:w="1417"/>
        <w:gridCol w:w="1134"/>
        <w:gridCol w:w="1701"/>
      </w:tblGrid>
      <w:tr>
        <w:tc>
          <w:tcPr>
            <w:tcW w:type="dxa" w:w="2551"/>
            <w:shd w:val="clear" w:color="auto" w:fill="D9E2F3"/>
          </w:tcPr>
          <w:p>
            <w:r/>
            <w:r>
              <w:rPr>
                <w:b/>
              </w:rPr>
              <w:t>Approach</w:t>
            </w:r>
          </w:p>
        </w:tc>
        <w:tc>
          <w:tcPr>
            <w:tcW w:type="dxa" w:w="2551"/>
            <w:shd w:val="clear" w:color="auto" w:fill="D9E2F3"/>
          </w:tcPr>
          <w:p>
            <w:r/>
            <w:r>
              <w:rPr>
                <w:b/>
              </w:rPr>
              <w:t>Method</w:t>
            </w:r>
          </w:p>
        </w:tc>
        <w:tc>
          <w:tcPr>
            <w:tcW w:type="dxa" w:w="1417"/>
            <w:shd w:val="clear" w:color="auto" w:fill="D9E2F3"/>
          </w:tcPr>
          <w:p>
            <w:r/>
            <w:r>
              <w:rPr>
                <w:b/>
              </w:rPr>
              <w:t>Equity value</w:t>
            </w:r>
          </w:p>
        </w:tc>
        <w:tc>
          <w:tcPr>
            <w:tcW w:type="dxa" w:w="1134"/>
            <w:shd w:val="clear" w:color="auto" w:fill="D9E2F3"/>
          </w:tcPr>
          <w:p>
            <w:r/>
            <w:r>
              <w:rPr>
                <w:b/>
              </w:rPr>
              <w:t>Weight</w:t>
            </w:r>
          </w:p>
        </w:tc>
        <w:tc>
          <w:tcPr>
            <w:tcW w:type="dxa" w:w="1701"/>
            <w:shd w:val="clear" w:color="auto" w:fill="D9E2F3"/>
          </w:tcPr>
          <w:p>
            <w:r/>
            <w:r>
              <w:rPr>
                <w:b/>
              </w:rPr>
              <w:t>Weighted</w:t>
            </w:r>
          </w:p>
        </w:tc>
      </w:tr>
      <w:tr>
        <w:tc>
          <w:tcPr>
            <w:tcW w:type="dxa" w:w="2551"/>
          </w:tcPr>
          <w:p>
            <w:r>
              <w:t>Income</w:t>
            </w:r>
          </w:p>
        </w:tc>
        <w:tc>
          <w:tcPr>
            <w:tcW w:type="dxa" w:w="2551"/>
          </w:tcPr>
          <w:p>
            <w:r>
              <w:t>Discounted cash flow (FCFF)</w:t>
            </w:r>
          </w:p>
        </w:tc>
        <w:tc>
          <w:tcPr>
            <w:tcW w:type="dxa" w:w="1417"/>
          </w:tcPr>
          <w:p>
            <w:pPr>
              <w:jc w:val="right"/>
            </w:pPr>
            <w:r>
              <w:t>45.38</w:t>
            </w:r>
          </w:p>
        </w:tc>
        <w:tc>
          <w:tcPr>
            <w:tcW w:type="dxa" w:w="1134"/>
          </w:tcPr>
          <w:p>
            <w:pPr>
              <w:jc w:val="right"/>
            </w:pPr>
            <w:r>
              <w:t>60%</w:t>
            </w:r>
          </w:p>
        </w:tc>
        <w:tc>
          <w:tcPr>
            <w:tcW w:type="dxa" w:w="1701"/>
          </w:tcPr>
          <w:p>
            <w:pPr>
              <w:jc w:val="right"/>
            </w:pPr>
            <w:r>
              <w:t>27.23</w:t>
            </w:r>
          </w:p>
        </w:tc>
      </w:tr>
      <w:tr>
        <w:tc>
          <w:tcPr>
            <w:tcW w:type="dxa" w:w="2551"/>
          </w:tcPr>
          <w:p>
            <w:r>
              <w:t>Market</w:t>
            </w:r>
          </w:p>
        </w:tc>
        <w:tc>
          <w:tcPr>
            <w:tcW w:type="dxa" w:w="2551"/>
          </w:tcPr>
          <w:p>
            <w:r>
              <w:t>Comparable companies (EV/EBITDA)</w:t>
            </w:r>
          </w:p>
        </w:tc>
        <w:tc>
          <w:tcPr>
            <w:tcW w:type="dxa" w:w="1417"/>
          </w:tcPr>
          <w:p>
            <w:pPr>
              <w:jc w:val="right"/>
            </w:pPr>
            <w:r>
              <w:t>103.70</w:t>
            </w:r>
          </w:p>
        </w:tc>
        <w:tc>
          <w:tcPr>
            <w:tcW w:type="dxa" w:w="1134"/>
          </w:tcPr>
          <w:p>
            <w:pPr>
              <w:jc w:val="right"/>
            </w:pPr>
            <w:r>
              <w:t>40%</w:t>
            </w:r>
          </w:p>
        </w:tc>
        <w:tc>
          <w:tcPr>
            <w:tcW w:type="dxa" w:w="1701"/>
          </w:tcPr>
          <w:p>
            <w:pPr>
              <w:jc w:val="right"/>
            </w:pPr>
            <w:r>
              <w:t>41.48</w:t>
            </w:r>
          </w:p>
        </w:tc>
      </w:tr>
      <w:tr>
        <w:tc>
          <w:tcPr>
            <w:tcW w:type="dxa" w:w="2551"/>
          </w:tcPr>
          <w:p>
            <w:r>
              <w:t>Weighted equity value</w:t>
            </w:r>
          </w:p>
        </w:tc>
        <w:tc>
          <w:tcPr>
            <w:tcW w:type="dxa" w:w="2551"/>
          </w:tcPr>
          <w:p>
            <w:r/>
          </w:p>
        </w:tc>
        <w:tc>
          <w:tcPr>
            <w:tcW w:type="dxa" w:w="1417"/>
          </w:tcPr>
          <w:p>
            <w:r/>
          </w:p>
        </w:tc>
        <w:tc>
          <w:tcPr>
            <w:tcW w:type="dxa" w:w="1134"/>
          </w:tcPr>
          <w:p>
            <w:r/>
          </w:p>
        </w:tc>
        <w:tc>
          <w:tcPr>
            <w:tcW w:type="dxa" w:w="1701"/>
          </w:tcPr>
          <w:p>
            <w:pPr>
              <w:jc w:val="right"/>
            </w:pPr>
            <w:r>
              <w:t>68.70</w:t>
            </w:r>
          </w:p>
        </w:tc>
      </w:tr>
      <w:tr>
        <w:tc>
          <w:tcPr>
            <w:tcW w:type="dxa" w:w="2551"/>
          </w:tcPr>
          <w:p>
            <w:r>
              <w:t>Less: discount for lack of marketability</w:t>
            </w:r>
          </w:p>
        </w:tc>
        <w:tc>
          <w:tcPr>
            <w:tcW w:type="dxa" w:w="2551"/>
          </w:tcPr>
          <w:p>
            <w:r/>
          </w:p>
        </w:tc>
        <w:tc>
          <w:tcPr>
            <w:tcW w:type="dxa" w:w="1417"/>
          </w:tcPr>
          <w:p>
            <w:r/>
          </w:p>
        </w:tc>
        <w:tc>
          <w:tcPr>
            <w:tcW w:type="dxa" w:w="1134"/>
          </w:tcPr>
          <w:p>
            <w:pPr>
              <w:jc w:val="right"/>
            </w:pPr>
            <w:r>
              <w:t>15.00%</w:t>
            </w:r>
          </w:p>
        </w:tc>
        <w:tc>
          <w:tcPr>
            <w:tcW w:type="dxa" w:w="1701"/>
          </w:tcPr>
          <w:p>
            <w:pPr>
              <w:jc w:val="right"/>
            </w:pPr>
            <w:r>
              <w:t>10.31</w:t>
            </w:r>
          </w:p>
        </w:tc>
      </w:tr>
      <w:tr>
        <w:tc>
          <w:tcPr>
            <w:tcW w:type="dxa" w:w="2551"/>
          </w:tcPr>
          <w:p>
            <w:r>
              <w:rPr>
                <w:b/>
              </w:rPr>
              <w:t>Concluded equity value (INR crore)</w:t>
            </w:r>
          </w:p>
        </w:tc>
        <w:tc>
          <w:tcPr>
            <w:tcW w:type="dxa" w:w="2551"/>
          </w:tcPr>
          <w:p>
            <w:r>
              <w:rPr>
                <w:b/>
              </w:rPr>
            </w:r>
          </w:p>
        </w:tc>
        <w:tc>
          <w:tcPr>
            <w:tcW w:type="dxa" w:w="1417"/>
          </w:tcPr>
          <w:p>
            <w:r>
              <w:rPr>
                <w:b/>
              </w:rPr>
            </w:r>
          </w:p>
        </w:tc>
        <w:tc>
          <w:tcPr>
            <w:tcW w:type="dxa" w:w="1134"/>
          </w:tcPr>
          <w:p>
            <w:r>
              <w:rPr>
                <w:b/>
              </w:rPr>
            </w:r>
          </w:p>
        </w:tc>
        <w:tc>
          <w:tcPr>
            <w:tcW w:type="dxa" w:w="1701"/>
          </w:tcPr>
          <w:p>
            <w:pPr>
              <w:jc w:val="right"/>
            </w:pPr>
            <w:r>
              <w:rPr>
                <w:b/>
              </w:rPr>
              <w:t>58.40</w:t>
            </w:r>
          </w:p>
        </w:tc>
      </w:tr>
    </w:tbl>
    <w:p/>
    <w:p>
      <w:r>
        <w:t>Fair value combines the income and market approaches for the subsidiary, the expected recovery on receivables and the realisable value of the other assets. Liquidation value applies forced-sale recovery rates to each asset.</w:t>
      </w:r>
    </w:p>
    <w:p>
      <w:pPr>
        <w:pStyle w:val="Heading2"/>
      </w:pPr>
      <w:r>
        <w:t>t) Caveats, Limitations and Disclaimers</w:t>
      </w:r>
    </w:p>
    <w:p>
      <w:r>
        <w:t>[SAMPLE] Caveats, limitations and disclaimers as per the IBBI (Use of Caveats, Limitations, and Disclaimers in Valuation Reports) Guidelines, 2020. The valuer inserts the full text here.</w:t>
      </w:r>
    </w:p>
    <w:p>
      <w:pPr>
        <w:pStyle w:val="Heading2"/>
      </w:pPr>
      <w:r>
        <w:t>u) Summary of Conclusions</w:t>
      </w:r>
    </w:p>
    <w:p>
      <w:r>
        <w:t>The securities and financial assets of the corporate debtor have been valued using the approaches set out in section m. The values and workings are in section s and the annexures.</w:t>
      </w:r>
    </w:p>
    <w:p>
      <w:r>
        <w:t>Fair value: INR 57.14 crore. Liquidation value: INR 35.41 crore. Book value: INR 57.95 crore.</w:t>
      </w:r>
    </w:p>
    <w:p>
      <w:pPr>
        <w:pStyle w:val="Heading2"/>
      </w:pPr>
      <w:r>
        <w:t>v) Annexures</w:t>
      </w:r>
    </w:p>
    <w:tbl>
      <w:tblPr>
        <w:tblStyle w:val="TableGrid"/>
        <w:tblW w:type="auto" w:w="0"/>
        <w:jc w:val="center"/>
        <w:tblLayout w:type="fixed"/>
        <w:tblLook w:firstColumn="1" w:firstRow="1" w:lastColumn="0" w:lastRow="0" w:noHBand="0" w:noVBand="1" w:val="04A0"/>
      </w:tblPr>
      <w:tblGrid>
        <w:gridCol w:w="5669"/>
        <w:gridCol w:w="3685"/>
      </w:tblGrid>
      <w:tr>
        <w:tc>
          <w:tcPr>
            <w:tcW w:type="dxa" w:w="5669"/>
            <w:shd w:val="clear" w:color="auto" w:fill="D9E2F3"/>
          </w:tcPr>
          <w:p>
            <w:r/>
            <w:r>
              <w:rPr>
                <w:b/>
              </w:rPr>
              <w:t>Annexure</w:t>
            </w:r>
          </w:p>
        </w:tc>
        <w:tc>
          <w:tcPr>
            <w:tcW w:type="dxa" w:w="3685"/>
            <w:shd w:val="clear" w:color="auto" w:fill="D9E2F3"/>
          </w:tcPr>
          <w:p>
            <w:r/>
            <w:r>
              <w:rPr>
                <w:b/>
              </w:rPr>
              <w:t>Status</w:t>
            </w:r>
          </w:p>
        </w:tc>
      </w:tr>
      <w:tr>
        <w:tc>
          <w:tcPr>
            <w:tcW w:type="dxa" w:w="5669"/>
          </w:tcPr>
          <w:p>
            <w:r>
              <w:t>Appointment letter</w:t>
            </w:r>
          </w:p>
        </w:tc>
        <w:tc>
          <w:tcPr>
            <w:tcW w:type="dxa" w:w="3685"/>
          </w:tcPr>
          <w:p>
            <w:r>
              <w:t>Yes</w:t>
            </w:r>
          </w:p>
        </w:tc>
      </w:tr>
      <w:tr>
        <w:tc>
          <w:tcPr>
            <w:tcW w:type="dxa" w:w="5669"/>
          </w:tcPr>
          <w:p>
            <w:r>
              <w:t>Engagement terms</w:t>
            </w:r>
          </w:p>
        </w:tc>
        <w:tc>
          <w:tcPr>
            <w:tcW w:type="dxa" w:w="3685"/>
          </w:tcPr>
          <w:p>
            <w:r>
              <w:t>Yes</w:t>
            </w:r>
          </w:p>
        </w:tc>
      </w:tr>
      <w:tr>
        <w:tc>
          <w:tcPr>
            <w:tcW w:type="dxa" w:w="5669"/>
          </w:tcPr>
          <w:p>
            <w:r>
              <w:t>Financial statement extracts</w:t>
            </w:r>
          </w:p>
        </w:tc>
        <w:tc>
          <w:tcPr>
            <w:tcW w:type="dxa" w:w="3685"/>
          </w:tcPr>
          <w:p>
            <w:r>
              <w:t>Yes</w:t>
            </w:r>
          </w:p>
        </w:tc>
      </w:tr>
      <w:tr>
        <w:tc>
          <w:tcPr>
            <w:tcW w:type="dxa" w:w="5669"/>
          </w:tcPr>
          <w:p>
            <w:r>
              <w:t>Minutes of the meetings/discussions held with Committee of Creditors</w:t>
            </w:r>
          </w:p>
        </w:tc>
        <w:tc>
          <w:tcPr>
            <w:tcW w:type="dxa" w:w="3685"/>
          </w:tcPr>
          <w:p>
            <w:r>
              <w:t>Yes</w:t>
            </w:r>
          </w:p>
        </w:tc>
      </w:tr>
      <w:tr>
        <w:tc>
          <w:tcPr>
            <w:tcW w:type="dxa" w:w="5669"/>
          </w:tcPr>
          <w:p>
            <w:r>
              <w:t>Photographs or screenshots (if applicable)</w:t>
            </w:r>
          </w:p>
        </w:tc>
        <w:tc>
          <w:tcPr>
            <w:tcW w:type="dxa" w:w="3685"/>
          </w:tcPr>
          <w:p>
            <w:r>
              <w:t>N/A: no site photographs are relevant to securities or financial assets</w:t>
            </w:r>
          </w:p>
        </w:tc>
      </w:tr>
      <w:tr>
        <w:tc>
          <w:tcPr>
            <w:tcW w:type="dxa" w:w="5669"/>
          </w:tcPr>
          <w:p>
            <w:r>
              <w:t>Copy of engagement letter of expert, if involved</w:t>
            </w:r>
          </w:p>
        </w:tc>
        <w:tc>
          <w:tcPr>
            <w:tcW w:type="dxa" w:w="3685"/>
          </w:tcPr>
          <w:p>
            <w:r>
              <w:t>N/A: no expert was involved</w:t>
            </w:r>
          </w:p>
        </w:tc>
      </w:tr>
      <w:tr>
        <w:tc>
          <w:tcPr>
            <w:tcW w:type="dxa" w:w="5669"/>
          </w:tcPr>
          <w:p>
            <w:r>
              <w:t>Annexure A: Comparable company analysis</w:t>
            </w:r>
          </w:p>
        </w:tc>
        <w:tc>
          <w:tcPr>
            <w:tcW w:type="dxa" w:w="3685"/>
          </w:tcPr>
          <w:p>
            <w:r>
              <w:t>Attached</w:t>
            </w:r>
          </w:p>
        </w:tc>
      </w:tr>
      <w:tr>
        <w:tc>
          <w:tcPr>
            <w:tcW w:type="dxa" w:w="5669"/>
          </w:tcPr>
          <w:p>
            <w:r>
              <w:t>Annexure B: Computation sheets</w:t>
            </w:r>
          </w:p>
        </w:tc>
        <w:tc>
          <w:tcPr>
            <w:tcW w:type="dxa" w:w="3685"/>
          </w:tcPr>
          <w:p>
            <w:r>
              <w:t>Attached</w:t>
            </w:r>
          </w:p>
        </w:tc>
      </w:tr>
    </w:tbl>
    <w:p/>
    <w:p>
      <w:r>
        <w:br w:type="page"/>
      </w:r>
    </w:p>
    <w:p>
      <w:pPr>
        <w:pStyle w:val="Heading1"/>
      </w:pPr>
      <w:r>
        <w:t>Annexure A: Comparable Company Analysis</w:t>
      </w:r>
    </w:p>
    <w:p>
      <w:r>
        <w:t>INR crore. Multiples are not meaningful (n.m.) where the denominator is zero or negative.</w:t>
      </w:r>
    </w:p>
    <w:tbl>
      <w:tblPr>
        <w:tblStyle w:val="TableGrid"/>
        <w:tblW w:type="auto" w:w="0"/>
        <w:jc w:val="center"/>
        <w:tblLayout w:type="fixed"/>
        <w:tblLook w:firstColumn="1" w:firstRow="1" w:lastColumn="0" w:lastRow="0" w:noHBand="0" w:noVBand="1" w:val="04A0"/>
      </w:tblPr>
      <w:tblGrid>
        <w:gridCol w:w="3969"/>
        <w:gridCol w:w="1701"/>
        <w:gridCol w:w="1701"/>
        <w:gridCol w:w="1701"/>
      </w:tblGrid>
      <w:tr>
        <w:tc>
          <w:tcPr>
            <w:tcW w:type="dxa" w:w="3969"/>
            <w:shd w:val="clear" w:color="auto" w:fill="D9E2F3"/>
          </w:tcPr>
          <w:p>
            <w:r/>
            <w:r>
              <w:rPr>
                <w:b/>
              </w:rPr>
              <w:t>Company</w:t>
            </w:r>
          </w:p>
        </w:tc>
        <w:tc>
          <w:tcPr>
            <w:tcW w:type="dxa" w:w="1701"/>
            <w:shd w:val="clear" w:color="auto" w:fill="D9E2F3"/>
          </w:tcPr>
          <w:p>
            <w:r/>
            <w:r>
              <w:rPr>
                <w:b/>
              </w:rPr>
              <w:t>EV/Revenue</w:t>
            </w:r>
          </w:p>
        </w:tc>
        <w:tc>
          <w:tcPr>
            <w:tcW w:type="dxa" w:w="1701"/>
            <w:shd w:val="clear" w:color="auto" w:fill="D9E2F3"/>
          </w:tcPr>
          <w:p>
            <w:r/>
            <w:r>
              <w:rPr>
                <w:b/>
              </w:rPr>
              <w:t>EV/EBITDA</w:t>
            </w:r>
          </w:p>
        </w:tc>
        <w:tc>
          <w:tcPr>
            <w:tcW w:type="dxa" w:w="1701"/>
            <w:shd w:val="clear" w:color="auto" w:fill="D9E2F3"/>
          </w:tcPr>
          <w:p>
            <w:r/>
            <w:r>
              <w:rPr>
                <w:b/>
              </w:rPr>
              <w:t>P/E</w:t>
            </w:r>
          </w:p>
        </w:tc>
      </w:tr>
      <w:tr>
        <w:tc>
          <w:tcPr>
            <w:tcW w:type="dxa" w:w="3969"/>
          </w:tcPr>
          <w:p>
            <w:r>
              <w:t>Illustrative Peer 1</w:t>
            </w:r>
          </w:p>
        </w:tc>
        <w:tc>
          <w:tcPr>
            <w:tcW w:type="dxa" w:w="1701"/>
          </w:tcPr>
          <w:p>
            <w:pPr>
              <w:jc w:val="right"/>
            </w:pPr>
            <w:r>
              <w:t>1.37x</w:t>
            </w:r>
          </w:p>
        </w:tc>
        <w:tc>
          <w:tcPr>
            <w:tcW w:type="dxa" w:w="1701"/>
          </w:tcPr>
          <w:p>
            <w:pPr>
              <w:jc w:val="right"/>
            </w:pPr>
            <w:r>
              <w:t>9.03x</w:t>
            </w:r>
          </w:p>
        </w:tc>
        <w:tc>
          <w:tcPr>
            <w:tcW w:type="dxa" w:w="1701"/>
          </w:tcPr>
          <w:p>
            <w:pPr>
              <w:jc w:val="right"/>
            </w:pPr>
            <w:r>
              <w:t>17.33x</w:t>
            </w:r>
          </w:p>
        </w:tc>
      </w:tr>
      <w:tr>
        <w:tc>
          <w:tcPr>
            <w:tcW w:type="dxa" w:w="3969"/>
          </w:tcPr>
          <w:p>
            <w:r>
              <w:t>Illustrative Peer 2</w:t>
            </w:r>
          </w:p>
        </w:tc>
        <w:tc>
          <w:tcPr>
            <w:tcW w:type="dxa" w:w="1701"/>
          </w:tcPr>
          <w:p>
            <w:pPr>
              <w:jc w:val="right"/>
            </w:pPr>
            <w:r>
              <w:t>1.29x</w:t>
            </w:r>
          </w:p>
        </w:tc>
        <w:tc>
          <w:tcPr>
            <w:tcW w:type="dxa" w:w="1701"/>
          </w:tcPr>
          <w:p>
            <w:pPr>
              <w:jc w:val="right"/>
            </w:pPr>
            <w:r>
              <w:t>9.31x</w:t>
            </w:r>
          </w:p>
        </w:tc>
        <w:tc>
          <w:tcPr>
            <w:tcW w:type="dxa" w:w="1701"/>
          </w:tcPr>
          <w:p>
            <w:pPr>
              <w:jc w:val="right"/>
            </w:pPr>
            <w:r>
              <w:t>18.24x</w:t>
            </w:r>
          </w:p>
        </w:tc>
      </w:tr>
      <w:tr>
        <w:tc>
          <w:tcPr>
            <w:tcW w:type="dxa" w:w="3969"/>
          </w:tcPr>
          <w:p>
            <w:r>
              <w:t>Illustrative Peer 3</w:t>
            </w:r>
          </w:p>
        </w:tc>
        <w:tc>
          <w:tcPr>
            <w:tcW w:type="dxa" w:w="1701"/>
          </w:tcPr>
          <w:p>
            <w:pPr>
              <w:jc w:val="right"/>
            </w:pPr>
            <w:r>
              <w:t>1.43x</w:t>
            </w:r>
          </w:p>
        </w:tc>
        <w:tc>
          <w:tcPr>
            <w:tcW w:type="dxa" w:w="1701"/>
          </w:tcPr>
          <w:p>
            <w:pPr>
              <w:jc w:val="right"/>
            </w:pPr>
            <w:r>
              <w:t>10.20x</w:t>
            </w:r>
          </w:p>
        </w:tc>
        <w:tc>
          <w:tcPr>
            <w:tcW w:type="dxa" w:w="1701"/>
          </w:tcPr>
          <w:p>
            <w:pPr>
              <w:jc w:val="right"/>
            </w:pPr>
            <w:r>
              <w:t>19.56x</w:t>
            </w:r>
          </w:p>
        </w:tc>
      </w:tr>
      <w:tr>
        <w:tc>
          <w:tcPr>
            <w:tcW w:type="dxa" w:w="3969"/>
          </w:tcPr>
          <w:p>
            <w:r>
              <w:t>Illustrative Peer 4</w:t>
            </w:r>
          </w:p>
        </w:tc>
        <w:tc>
          <w:tcPr>
            <w:tcW w:type="dxa" w:w="1701"/>
          </w:tcPr>
          <w:p>
            <w:pPr>
              <w:jc w:val="right"/>
            </w:pPr>
            <w:r>
              <w:t>1.00x</w:t>
            </w:r>
          </w:p>
        </w:tc>
        <w:tc>
          <w:tcPr>
            <w:tcW w:type="dxa" w:w="1701"/>
          </w:tcPr>
          <w:p>
            <w:pPr>
              <w:jc w:val="right"/>
            </w:pPr>
            <w:r>
              <w:t>8.89x</w:t>
            </w:r>
          </w:p>
        </w:tc>
        <w:tc>
          <w:tcPr>
            <w:tcW w:type="dxa" w:w="1701"/>
          </w:tcPr>
          <w:p>
            <w:pPr>
              <w:jc w:val="right"/>
            </w:pPr>
            <w:r>
              <w:t>25.00x</w:t>
            </w:r>
          </w:p>
        </w:tc>
      </w:tr>
      <w:tr>
        <w:tc>
          <w:tcPr>
            <w:tcW w:type="dxa" w:w="3969"/>
          </w:tcPr>
          <w:p>
            <w:r>
              <w:t>Illustrative Peer 5</w:t>
            </w:r>
          </w:p>
        </w:tc>
        <w:tc>
          <w:tcPr>
            <w:tcW w:type="dxa" w:w="1701"/>
          </w:tcPr>
          <w:p>
            <w:pPr>
              <w:jc w:val="right"/>
            </w:pPr>
            <w:r>
              <w:t>1.17x</w:t>
            </w:r>
          </w:p>
        </w:tc>
        <w:tc>
          <w:tcPr>
            <w:tcW w:type="dxa" w:w="1701"/>
          </w:tcPr>
          <w:p>
            <w:r>
              <w:t>n.m.</w:t>
            </w:r>
          </w:p>
        </w:tc>
        <w:tc>
          <w:tcPr>
            <w:tcW w:type="dxa" w:w="1701"/>
          </w:tcPr>
          <w:p>
            <w:r>
              <w:t>n.m.</w:t>
            </w:r>
          </w:p>
        </w:tc>
      </w:tr>
    </w:tbl>
    <w:p/>
    <w:tbl>
      <w:tblPr>
        <w:tblStyle w:val="TableGrid"/>
        <w:tblW w:type="auto" w:w="0"/>
        <w:jc w:val="center"/>
        <w:tblLayout w:type="fixed"/>
        <w:tblLook w:firstColumn="1" w:firstRow="1" w:lastColumn="0" w:lastRow="0" w:noHBand="0" w:noVBand="1" w:val="04A0"/>
      </w:tblPr>
      <w:tblGrid>
        <w:gridCol w:w="3969"/>
        <w:gridCol w:w="1701"/>
        <w:gridCol w:w="1701"/>
        <w:gridCol w:w="1701"/>
      </w:tblGrid>
      <w:tr>
        <w:tc>
          <w:tcPr>
            <w:tcW w:type="dxa" w:w="3969"/>
            <w:shd w:val="clear" w:color="auto" w:fill="D9E2F3"/>
          </w:tcPr>
          <w:p>
            <w:r/>
            <w:r>
              <w:rPr>
                <w:b/>
              </w:rPr>
              <w:t>Statistic</w:t>
            </w:r>
          </w:p>
        </w:tc>
        <w:tc>
          <w:tcPr>
            <w:tcW w:type="dxa" w:w="1701"/>
            <w:shd w:val="clear" w:color="auto" w:fill="D9E2F3"/>
          </w:tcPr>
          <w:p>
            <w:r/>
            <w:r>
              <w:rPr>
                <w:b/>
              </w:rPr>
              <w:t>EV/Revenue</w:t>
            </w:r>
          </w:p>
        </w:tc>
        <w:tc>
          <w:tcPr>
            <w:tcW w:type="dxa" w:w="1701"/>
            <w:shd w:val="clear" w:color="auto" w:fill="D9E2F3"/>
          </w:tcPr>
          <w:p>
            <w:r/>
            <w:r>
              <w:rPr>
                <w:b/>
              </w:rPr>
              <w:t>EV/EBITDA</w:t>
            </w:r>
          </w:p>
        </w:tc>
        <w:tc>
          <w:tcPr>
            <w:tcW w:type="dxa" w:w="1701"/>
            <w:shd w:val="clear" w:color="auto" w:fill="D9E2F3"/>
          </w:tcPr>
          <w:p>
            <w:r/>
            <w:r>
              <w:rPr>
                <w:b/>
              </w:rPr>
              <w:t>P/E</w:t>
            </w:r>
          </w:p>
        </w:tc>
      </w:tr>
      <w:tr>
        <w:tc>
          <w:tcPr>
            <w:tcW w:type="dxa" w:w="3969"/>
          </w:tcPr>
          <w:p>
            <w:r>
              <w:t>Min</w:t>
            </w:r>
          </w:p>
        </w:tc>
        <w:tc>
          <w:tcPr>
            <w:tcW w:type="dxa" w:w="1701"/>
          </w:tcPr>
          <w:p>
            <w:pPr>
              <w:jc w:val="right"/>
            </w:pPr>
            <w:r>
              <w:t>1.00x</w:t>
            </w:r>
          </w:p>
        </w:tc>
        <w:tc>
          <w:tcPr>
            <w:tcW w:type="dxa" w:w="1701"/>
          </w:tcPr>
          <w:p>
            <w:pPr>
              <w:jc w:val="right"/>
            </w:pPr>
            <w:r>
              <w:t>8.89x</w:t>
            </w:r>
          </w:p>
        </w:tc>
        <w:tc>
          <w:tcPr>
            <w:tcW w:type="dxa" w:w="1701"/>
          </w:tcPr>
          <w:p>
            <w:pPr>
              <w:jc w:val="right"/>
            </w:pPr>
            <w:r>
              <w:t>17.33x</w:t>
            </w:r>
          </w:p>
        </w:tc>
      </w:tr>
      <w:tr>
        <w:tc>
          <w:tcPr>
            <w:tcW w:type="dxa" w:w="3969"/>
          </w:tcPr>
          <w:p>
            <w:r>
              <w:t>Median</w:t>
            </w:r>
          </w:p>
        </w:tc>
        <w:tc>
          <w:tcPr>
            <w:tcW w:type="dxa" w:w="1701"/>
          </w:tcPr>
          <w:p>
            <w:pPr>
              <w:jc w:val="right"/>
            </w:pPr>
            <w:r>
              <w:t>1.29x</w:t>
            </w:r>
          </w:p>
        </w:tc>
        <w:tc>
          <w:tcPr>
            <w:tcW w:type="dxa" w:w="1701"/>
          </w:tcPr>
          <w:p>
            <w:pPr>
              <w:jc w:val="right"/>
            </w:pPr>
            <w:r>
              <w:t>9.17x</w:t>
            </w:r>
          </w:p>
        </w:tc>
        <w:tc>
          <w:tcPr>
            <w:tcW w:type="dxa" w:w="1701"/>
          </w:tcPr>
          <w:p>
            <w:pPr>
              <w:jc w:val="right"/>
            </w:pPr>
            <w:r>
              <w:t>18.90x</w:t>
            </w:r>
          </w:p>
        </w:tc>
      </w:tr>
      <w:tr>
        <w:tc>
          <w:tcPr>
            <w:tcW w:type="dxa" w:w="3969"/>
          </w:tcPr>
          <w:p>
            <w:r>
              <w:t>Mean</w:t>
            </w:r>
          </w:p>
        </w:tc>
        <w:tc>
          <w:tcPr>
            <w:tcW w:type="dxa" w:w="1701"/>
          </w:tcPr>
          <w:p>
            <w:pPr>
              <w:jc w:val="right"/>
            </w:pPr>
            <w:r>
              <w:t>1.25x</w:t>
            </w:r>
          </w:p>
        </w:tc>
        <w:tc>
          <w:tcPr>
            <w:tcW w:type="dxa" w:w="1701"/>
          </w:tcPr>
          <w:p>
            <w:pPr>
              <w:jc w:val="right"/>
            </w:pPr>
            <w:r>
              <w:t>9.36x</w:t>
            </w:r>
          </w:p>
        </w:tc>
        <w:tc>
          <w:tcPr>
            <w:tcW w:type="dxa" w:w="1701"/>
          </w:tcPr>
          <w:p>
            <w:pPr>
              <w:jc w:val="right"/>
            </w:pPr>
            <w:r>
              <w:t>20.03x</w:t>
            </w:r>
          </w:p>
        </w:tc>
      </w:tr>
      <w:tr>
        <w:tc>
          <w:tcPr>
            <w:tcW w:type="dxa" w:w="3969"/>
          </w:tcPr>
          <w:p>
            <w:r>
              <w:t>Max</w:t>
            </w:r>
          </w:p>
        </w:tc>
        <w:tc>
          <w:tcPr>
            <w:tcW w:type="dxa" w:w="1701"/>
          </w:tcPr>
          <w:p>
            <w:pPr>
              <w:jc w:val="right"/>
            </w:pPr>
            <w:r>
              <w:t>1.43x</w:t>
            </w:r>
          </w:p>
        </w:tc>
        <w:tc>
          <w:tcPr>
            <w:tcW w:type="dxa" w:w="1701"/>
          </w:tcPr>
          <w:p>
            <w:pPr>
              <w:jc w:val="right"/>
            </w:pPr>
            <w:r>
              <w:t>10.20x</w:t>
            </w:r>
          </w:p>
        </w:tc>
        <w:tc>
          <w:tcPr>
            <w:tcW w:type="dxa" w:w="1701"/>
          </w:tcPr>
          <w:p>
            <w:pPr>
              <w:jc w:val="right"/>
            </w:pPr>
            <w:r>
              <w:t>25.00x</w:t>
            </w:r>
          </w:p>
        </w:tc>
      </w:tr>
    </w:tbl>
    <w:p/>
    <w:tbl>
      <w:tblPr>
        <w:tblStyle w:val="TableGrid"/>
        <w:tblW w:type="auto" w:w="0"/>
        <w:jc w:val="center"/>
        <w:tblLayout w:type="fixed"/>
        <w:tblLook w:firstColumn="1" w:firstRow="1" w:lastColumn="0" w:lastRow="0" w:noHBand="0" w:noVBand="1" w:val="04A0"/>
      </w:tblPr>
      <w:tblGrid>
        <w:gridCol w:w="5669"/>
        <w:gridCol w:w="3685"/>
      </w:tblGrid>
      <w:tr>
        <w:tc>
          <w:tcPr>
            <w:tcW w:type="dxa" w:w="5669"/>
            <w:shd w:val="clear" w:color="auto" w:fill="D9E2F3"/>
          </w:tcPr>
          <w:p>
            <w:r/>
            <w:r>
              <w:rPr>
                <w:b/>
              </w:rPr>
              <w:t>Item</w:t>
            </w:r>
          </w:p>
        </w:tc>
        <w:tc>
          <w:tcPr>
            <w:tcW w:type="dxa" w:w="3685"/>
            <w:shd w:val="clear" w:color="auto" w:fill="D9E2F3"/>
          </w:tcPr>
          <w:p>
            <w:r/>
            <w:r>
              <w:rPr>
                <w:b/>
              </w:rPr>
              <w:t>Value</w:t>
            </w:r>
          </w:p>
        </w:tc>
      </w:tr>
      <w:tr>
        <w:tc>
          <w:tcPr>
            <w:tcW w:type="dxa" w:w="5669"/>
          </w:tcPr>
          <w:p>
            <w:r>
              <w:t>Selected EV/EBITDA (median)</w:t>
            </w:r>
          </w:p>
        </w:tc>
        <w:tc>
          <w:tcPr>
            <w:tcW w:type="dxa" w:w="3685"/>
          </w:tcPr>
          <w:p>
            <w:pPr>
              <w:jc w:val="right"/>
            </w:pPr>
            <w:r>
              <w:t>9.17x</w:t>
            </w:r>
          </w:p>
        </w:tc>
      </w:tr>
      <w:tr>
        <w:tc>
          <w:tcPr>
            <w:tcW w:type="dxa" w:w="5669"/>
          </w:tcPr>
          <w:p>
            <w:r>
              <w:t>Subject metric (latest actual year)</w:t>
            </w:r>
          </w:p>
        </w:tc>
        <w:tc>
          <w:tcPr>
            <w:tcW w:type="dxa" w:w="3685"/>
          </w:tcPr>
          <w:p>
            <w:pPr>
              <w:jc w:val="right"/>
            </w:pPr>
            <w:r>
              <w:t>13.00</w:t>
            </w:r>
          </w:p>
        </w:tc>
      </w:tr>
      <w:tr>
        <w:tc>
          <w:tcPr>
            <w:tcW w:type="dxa" w:w="5669"/>
          </w:tcPr>
          <w:p>
            <w:r>
              <w:t>Enterprise value</w:t>
            </w:r>
          </w:p>
        </w:tc>
        <w:tc>
          <w:tcPr>
            <w:tcW w:type="dxa" w:w="3685"/>
          </w:tcPr>
          <w:p>
            <w:pPr>
              <w:jc w:val="right"/>
            </w:pPr>
            <w:r>
              <w:t>119.20</w:t>
            </w:r>
          </w:p>
        </w:tc>
      </w:tr>
      <w:tr>
        <w:tc>
          <w:tcPr>
            <w:tcW w:type="dxa" w:w="5669"/>
          </w:tcPr>
          <w:p>
            <w:r>
              <w:t>Less: debt</w:t>
            </w:r>
          </w:p>
        </w:tc>
        <w:tc>
          <w:tcPr>
            <w:tcW w:type="dxa" w:w="3685"/>
          </w:tcPr>
          <w:p>
            <w:pPr>
              <w:jc w:val="right"/>
            </w:pPr>
            <w:r>
              <w:t>18.00</w:t>
            </w:r>
          </w:p>
        </w:tc>
      </w:tr>
      <w:tr>
        <w:tc>
          <w:tcPr>
            <w:tcW w:type="dxa" w:w="5669"/>
          </w:tcPr>
          <w:p>
            <w:r>
              <w:t>Add: cash</w:t>
            </w:r>
          </w:p>
        </w:tc>
        <w:tc>
          <w:tcPr>
            <w:tcW w:type="dxa" w:w="3685"/>
          </w:tcPr>
          <w:p>
            <w:pPr>
              <w:jc w:val="right"/>
            </w:pPr>
            <w:r>
              <w:t>2.50</w:t>
            </w:r>
          </w:p>
        </w:tc>
      </w:tr>
      <w:tr>
        <w:tc>
          <w:tcPr>
            <w:tcW w:type="dxa" w:w="5669"/>
          </w:tcPr>
          <w:p>
            <w:r>
              <w:t>Equity value</w:t>
            </w:r>
          </w:p>
        </w:tc>
        <w:tc>
          <w:tcPr>
            <w:tcW w:type="dxa" w:w="3685"/>
          </w:tcPr>
          <w:p>
            <w:pPr>
              <w:jc w:val="right"/>
            </w:pPr>
            <w:r>
              <w:t>103.70</w:t>
            </w:r>
          </w:p>
        </w:tc>
      </w:tr>
      <w:tr>
        <w:tc>
          <w:tcPr>
            <w:tcW w:type="dxa" w:w="5669"/>
          </w:tcPr>
          <w:p>
            <w:r>
              <w:t>Value per share (INR)</w:t>
            </w:r>
          </w:p>
        </w:tc>
        <w:tc>
          <w:tcPr>
            <w:tcW w:type="dxa" w:w="3685"/>
          </w:tcPr>
          <w:p>
            <w:pPr>
              <w:jc w:val="right"/>
            </w:pPr>
            <w:r>
              <w:t>51.85</w:t>
            </w:r>
          </w:p>
        </w:tc>
      </w:tr>
      <w:tr>
        <w:tc>
          <w:tcPr>
            <w:tcW w:type="dxa" w:w="5669"/>
          </w:tcPr>
          <w:p>
            <w:r>
              <w:t>Excluded (multiple not meaningful)</w:t>
            </w:r>
          </w:p>
        </w:tc>
        <w:tc>
          <w:tcPr>
            <w:tcW w:type="dxa" w:w="3685"/>
          </w:tcPr>
          <w:p>
            <w:r>
              <w:t>Illustrative Peer 5</w:t>
            </w:r>
          </w:p>
        </w:tc>
      </w:tr>
    </w:tbl>
    <w:p/>
    <w:p>
      <w:r>
        <w:br w:type="page"/>
      </w:r>
    </w:p>
    <w:p>
      <w:pPr>
        <w:pStyle w:val="Heading1"/>
      </w:pPr>
      <w:r>
        <w:t>Annexure B: Computation Sheets</w:t>
      </w:r>
    </w:p>
    <w:p>
      <w:pPr>
        <w:pStyle w:val="Heading2"/>
      </w:pPr>
      <w:r>
        <w:t>B1. Cost of capital</w:t>
      </w:r>
    </w:p>
    <w:tbl>
      <w:tblPr>
        <w:tblStyle w:val="TableGrid"/>
        <w:tblW w:type="auto" w:w="0"/>
        <w:jc w:val="center"/>
        <w:tblLayout w:type="fixed"/>
        <w:tblLook w:firstColumn="1" w:firstRow="1" w:lastColumn="0" w:lastRow="0" w:noHBand="0" w:noVBand="1" w:val="04A0"/>
      </w:tblPr>
      <w:tblGrid>
        <w:gridCol w:w="5669"/>
        <w:gridCol w:w="3685"/>
      </w:tblGrid>
      <w:tr>
        <w:tc>
          <w:tcPr>
            <w:tcW w:type="dxa" w:w="5669"/>
            <w:shd w:val="clear" w:color="auto" w:fill="D9E2F3"/>
          </w:tcPr>
          <w:p>
            <w:r/>
            <w:r>
              <w:rPr>
                <w:b/>
              </w:rPr>
              <w:t>Input</w:t>
            </w:r>
          </w:p>
        </w:tc>
        <w:tc>
          <w:tcPr>
            <w:tcW w:type="dxa" w:w="3685"/>
            <w:shd w:val="clear" w:color="auto" w:fill="D9E2F3"/>
          </w:tcPr>
          <w:p>
            <w:r/>
            <w:r>
              <w:rPr>
                <w:b/>
              </w:rPr>
              <w:t>Value</w:t>
            </w:r>
          </w:p>
        </w:tc>
      </w:tr>
      <w:tr>
        <w:tc>
          <w:tcPr>
            <w:tcW w:type="dxa" w:w="5669"/>
          </w:tcPr>
          <w:p>
            <w:r>
              <w:t>Risk-free rate</w:t>
            </w:r>
          </w:p>
        </w:tc>
        <w:tc>
          <w:tcPr>
            <w:tcW w:type="dxa" w:w="3685"/>
          </w:tcPr>
          <w:p>
            <w:pPr>
              <w:jc w:val="right"/>
            </w:pPr>
            <w:r>
              <w:t>6.80%</w:t>
            </w:r>
          </w:p>
        </w:tc>
      </w:tr>
      <w:tr>
        <w:tc>
          <w:tcPr>
            <w:tcW w:type="dxa" w:w="5669"/>
          </w:tcPr>
          <w:p>
            <w:r>
              <w:t>Beta</w:t>
            </w:r>
          </w:p>
        </w:tc>
        <w:tc>
          <w:tcPr>
            <w:tcW w:type="dxa" w:w="3685"/>
          </w:tcPr>
          <w:p>
            <w:pPr>
              <w:jc w:val="right"/>
            </w:pPr>
            <w:r>
              <w:t>1.10</w:t>
            </w:r>
          </w:p>
        </w:tc>
      </w:tr>
      <w:tr>
        <w:tc>
          <w:tcPr>
            <w:tcW w:type="dxa" w:w="5669"/>
          </w:tcPr>
          <w:p>
            <w:r>
              <w:t>Equity risk premium</w:t>
            </w:r>
          </w:p>
        </w:tc>
        <w:tc>
          <w:tcPr>
            <w:tcW w:type="dxa" w:w="3685"/>
          </w:tcPr>
          <w:p>
            <w:pPr>
              <w:jc w:val="right"/>
            </w:pPr>
            <w:r>
              <w:t>7.00%</w:t>
            </w:r>
          </w:p>
        </w:tc>
      </w:tr>
      <w:tr>
        <w:tc>
          <w:tcPr>
            <w:tcW w:type="dxa" w:w="5669"/>
          </w:tcPr>
          <w:p>
            <w:r>
              <w:t>Size / company-specific premium</w:t>
            </w:r>
          </w:p>
        </w:tc>
        <w:tc>
          <w:tcPr>
            <w:tcW w:type="dxa" w:w="3685"/>
          </w:tcPr>
          <w:p>
            <w:pPr>
              <w:jc w:val="right"/>
            </w:pPr>
            <w:r>
              <w:t>3.00%</w:t>
            </w:r>
          </w:p>
        </w:tc>
      </w:tr>
      <w:tr>
        <w:tc>
          <w:tcPr>
            <w:tcW w:type="dxa" w:w="5669"/>
          </w:tcPr>
          <w:p>
            <w:r>
              <w:t>Cost of equity</w:t>
            </w:r>
          </w:p>
        </w:tc>
        <w:tc>
          <w:tcPr>
            <w:tcW w:type="dxa" w:w="3685"/>
          </w:tcPr>
          <w:p>
            <w:pPr>
              <w:jc w:val="right"/>
            </w:pPr>
            <w:r>
              <w:t>17.50%</w:t>
            </w:r>
          </w:p>
        </w:tc>
      </w:tr>
      <w:tr>
        <w:tc>
          <w:tcPr>
            <w:tcW w:type="dxa" w:w="5669"/>
          </w:tcPr>
          <w:p>
            <w:r>
              <w:t>Pre-tax cost of debt</w:t>
            </w:r>
          </w:p>
        </w:tc>
        <w:tc>
          <w:tcPr>
            <w:tcW w:type="dxa" w:w="3685"/>
          </w:tcPr>
          <w:p>
            <w:pPr>
              <w:jc w:val="right"/>
            </w:pPr>
            <w:r>
              <w:t>10.50%</w:t>
            </w:r>
          </w:p>
        </w:tc>
      </w:tr>
      <w:tr>
        <w:tc>
          <w:tcPr>
            <w:tcW w:type="dxa" w:w="5669"/>
          </w:tcPr>
          <w:p>
            <w:r>
              <w:t>Tax rate</w:t>
            </w:r>
          </w:p>
        </w:tc>
        <w:tc>
          <w:tcPr>
            <w:tcW w:type="dxa" w:w="3685"/>
          </w:tcPr>
          <w:p>
            <w:pPr>
              <w:jc w:val="right"/>
            </w:pPr>
            <w:r>
              <w:t>25.17%</w:t>
            </w:r>
          </w:p>
        </w:tc>
      </w:tr>
      <w:tr>
        <w:tc>
          <w:tcPr>
            <w:tcW w:type="dxa" w:w="5669"/>
          </w:tcPr>
          <w:p>
            <w:r>
              <w:t>Debt / (Debt + Equity)</w:t>
            </w:r>
          </w:p>
        </w:tc>
        <w:tc>
          <w:tcPr>
            <w:tcW w:type="dxa" w:w="3685"/>
          </w:tcPr>
          <w:p>
            <w:pPr>
              <w:jc w:val="right"/>
            </w:pPr>
            <w:r>
              <w:t>25.00%</w:t>
            </w:r>
          </w:p>
        </w:tc>
      </w:tr>
      <w:tr>
        <w:tc>
          <w:tcPr>
            <w:tcW w:type="dxa" w:w="5669"/>
          </w:tcPr>
          <w:p>
            <w:r>
              <w:t>WACC</w:t>
            </w:r>
          </w:p>
        </w:tc>
        <w:tc>
          <w:tcPr>
            <w:tcW w:type="dxa" w:w="3685"/>
          </w:tcPr>
          <w:p>
            <w:pPr>
              <w:jc w:val="right"/>
            </w:pPr>
            <w:r>
              <w:t>15.09%</w:t>
            </w:r>
          </w:p>
        </w:tc>
      </w:tr>
      <w:tr>
        <w:tc>
          <w:tcPr>
            <w:tcW w:type="dxa" w:w="5669"/>
          </w:tcPr>
          <w:p>
            <w:r>
              <w:t>Terminal growth</w:t>
            </w:r>
          </w:p>
        </w:tc>
        <w:tc>
          <w:tcPr>
            <w:tcW w:type="dxa" w:w="3685"/>
          </w:tcPr>
          <w:p>
            <w:pPr>
              <w:jc w:val="right"/>
            </w:pPr>
            <w:r>
              <w:t>4.00%</w:t>
            </w:r>
          </w:p>
        </w:tc>
      </w:tr>
    </w:tbl>
    <w:p/>
    <w:p>
      <w:pPr>
        <w:pStyle w:val="Heading2"/>
      </w:pPr>
      <w:r>
        <w:t>B2. Discounted cash flow (INR crore)</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9E2F3"/>
          </w:tcPr>
          <w:p>
            <w:r>
              <w:rPr>
                <w:sz w:val="18"/>
              </w:rPr>
            </w:r>
            <w:r>
              <w:rPr>
                <w:b/>
                <w:sz w:val="18"/>
              </w:rPr>
              <w:t>Year</w:t>
            </w:r>
          </w:p>
        </w:tc>
        <w:tc>
          <w:tcPr>
            <w:tcW w:type="dxa" w:w="941"/>
            <w:shd w:val="clear" w:color="auto" w:fill="D9E2F3"/>
          </w:tcPr>
          <w:p>
            <w:r>
              <w:rPr>
                <w:sz w:val="18"/>
              </w:rPr>
            </w:r>
            <w:r>
              <w:rPr>
                <w:b/>
                <w:sz w:val="18"/>
              </w:rPr>
              <w:t>Revenue</w:t>
            </w:r>
          </w:p>
        </w:tc>
        <w:tc>
          <w:tcPr>
            <w:tcW w:type="dxa" w:w="941"/>
            <w:shd w:val="clear" w:color="auto" w:fill="D9E2F3"/>
          </w:tcPr>
          <w:p>
            <w:r>
              <w:rPr>
                <w:sz w:val="18"/>
              </w:rPr>
            </w:r>
            <w:r>
              <w:rPr>
                <w:b/>
                <w:sz w:val="18"/>
              </w:rPr>
              <w:t>EBITDA</w:t>
            </w:r>
          </w:p>
        </w:tc>
        <w:tc>
          <w:tcPr>
            <w:tcW w:type="dxa" w:w="941"/>
            <w:shd w:val="clear" w:color="auto" w:fill="D9E2F3"/>
          </w:tcPr>
          <w:p>
            <w:r>
              <w:rPr>
                <w:sz w:val="18"/>
              </w:rPr>
            </w:r>
            <w:r>
              <w:rPr>
                <w:b/>
                <w:sz w:val="18"/>
              </w:rPr>
              <w:t>D&amp;A</w:t>
            </w:r>
          </w:p>
        </w:tc>
        <w:tc>
          <w:tcPr>
            <w:tcW w:type="dxa" w:w="941"/>
            <w:shd w:val="clear" w:color="auto" w:fill="D9E2F3"/>
          </w:tcPr>
          <w:p>
            <w:r>
              <w:rPr>
                <w:sz w:val="18"/>
              </w:rPr>
            </w:r>
            <w:r>
              <w:rPr>
                <w:b/>
                <w:sz w:val="18"/>
              </w:rPr>
              <w:t>Capex</w:t>
            </w:r>
          </w:p>
        </w:tc>
        <w:tc>
          <w:tcPr>
            <w:tcW w:type="dxa" w:w="941"/>
            <w:shd w:val="clear" w:color="auto" w:fill="D9E2F3"/>
          </w:tcPr>
          <w:p>
            <w:r>
              <w:rPr>
                <w:sz w:val="18"/>
              </w:rPr>
            </w:r>
            <w:r>
              <w:rPr>
                <w:b/>
                <w:sz w:val="18"/>
              </w:rPr>
              <w:t>Incr. NWC</w:t>
            </w:r>
          </w:p>
        </w:tc>
        <w:tc>
          <w:tcPr>
            <w:tcW w:type="dxa" w:w="941"/>
            <w:shd w:val="clear" w:color="auto" w:fill="D9E2F3"/>
          </w:tcPr>
          <w:p>
            <w:r>
              <w:rPr>
                <w:sz w:val="18"/>
              </w:rPr>
            </w:r>
            <w:r>
              <w:rPr>
                <w:b/>
                <w:sz w:val="18"/>
              </w:rPr>
              <w:t>FCFF</w:t>
            </w:r>
          </w:p>
        </w:tc>
        <w:tc>
          <w:tcPr>
            <w:tcW w:type="dxa" w:w="941"/>
            <w:shd w:val="clear" w:color="auto" w:fill="D9E2F3"/>
          </w:tcPr>
          <w:p>
            <w:r>
              <w:rPr>
                <w:sz w:val="18"/>
              </w:rPr>
            </w:r>
            <w:r>
              <w:rPr>
                <w:b/>
                <w:sz w:val="18"/>
              </w:rPr>
              <w:t>Period</w:t>
            </w:r>
          </w:p>
        </w:tc>
        <w:tc>
          <w:tcPr>
            <w:tcW w:type="dxa" w:w="941"/>
            <w:shd w:val="clear" w:color="auto" w:fill="D9E2F3"/>
          </w:tcPr>
          <w:p>
            <w:r>
              <w:rPr>
                <w:sz w:val="18"/>
              </w:rPr>
            </w:r>
            <w:r>
              <w:rPr>
                <w:b/>
                <w:sz w:val="18"/>
              </w:rPr>
              <w:t>Factor</w:t>
            </w:r>
          </w:p>
        </w:tc>
        <w:tc>
          <w:tcPr>
            <w:tcW w:type="dxa" w:w="941"/>
            <w:shd w:val="clear" w:color="auto" w:fill="D9E2F3"/>
          </w:tcPr>
          <w:p>
            <w:r>
              <w:rPr>
                <w:sz w:val="18"/>
              </w:rPr>
            </w:r>
            <w:r>
              <w:rPr>
                <w:b/>
                <w:sz w:val="18"/>
              </w:rPr>
              <w:t>PV</w:t>
            </w:r>
          </w:p>
        </w:tc>
      </w:tr>
      <w:tr>
        <w:tc>
          <w:tcPr>
            <w:tcW w:type="dxa" w:w="941"/>
          </w:tcPr>
          <w:p>
            <w:r>
              <w:rPr>
                <w:sz w:val="18"/>
              </w:rPr>
              <w:t>FY27</w:t>
            </w:r>
          </w:p>
        </w:tc>
        <w:tc>
          <w:tcPr>
            <w:tcW w:type="dxa" w:w="941"/>
          </w:tcPr>
          <w:p>
            <w:pPr>
              <w:jc w:val="right"/>
            </w:pPr>
            <w:r>
              <w:rPr>
                <w:sz w:val="18"/>
              </w:rPr>
              <w:t>99.00</w:t>
            </w:r>
          </w:p>
        </w:tc>
        <w:tc>
          <w:tcPr>
            <w:tcW w:type="dxa" w:w="941"/>
          </w:tcPr>
          <w:p>
            <w:pPr>
              <w:jc w:val="right"/>
            </w:pPr>
            <w:r>
              <w:rPr>
                <w:sz w:val="18"/>
              </w:rPr>
              <w:t>13.90</w:t>
            </w:r>
          </w:p>
        </w:tc>
        <w:tc>
          <w:tcPr>
            <w:tcW w:type="dxa" w:w="941"/>
          </w:tcPr>
          <w:p>
            <w:pPr>
              <w:jc w:val="right"/>
            </w:pPr>
            <w:r>
              <w:rPr>
                <w:sz w:val="18"/>
              </w:rPr>
              <w:t>3.60</w:t>
            </w:r>
          </w:p>
        </w:tc>
        <w:tc>
          <w:tcPr>
            <w:tcW w:type="dxa" w:w="941"/>
          </w:tcPr>
          <w:p>
            <w:pPr>
              <w:jc w:val="right"/>
            </w:pPr>
            <w:r>
              <w:rPr>
                <w:sz w:val="18"/>
              </w:rPr>
              <w:t>4.60</w:t>
            </w:r>
          </w:p>
        </w:tc>
        <w:tc>
          <w:tcPr>
            <w:tcW w:type="dxa" w:w="941"/>
          </w:tcPr>
          <w:p>
            <w:pPr>
              <w:jc w:val="right"/>
            </w:pPr>
            <w:r>
              <w:rPr>
                <w:sz w:val="18"/>
              </w:rPr>
              <w:t>0.80</w:t>
            </w:r>
          </w:p>
        </w:tc>
        <w:tc>
          <w:tcPr>
            <w:tcW w:type="dxa" w:w="941"/>
          </w:tcPr>
          <w:p>
            <w:pPr>
              <w:jc w:val="right"/>
            </w:pPr>
            <w:r>
              <w:rPr>
                <w:sz w:val="18"/>
              </w:rPr>
              <w:t>5.91</w:t>
            </w:r>
          </w:p>
        </w:tc>
        <w:tc>
          <w:tcPr>
            <w:tcW w:type="dxa" w:w="941"/>
          </w:tcPr>
          <w:p>
            <w:pPr>
              <w:jc w:val="right"/>
            </w:pPr>
            <w:r>
              <w:rPr>
                <w:sz w:val="18"/>
              </w:rPr>
              <w:t>0.5</w:t>
            </w:r>
          </w:p>
        </w:tc>
        <w:tc>
          <w:tcPr>
            <w:tcW w:type="dxa" w:w="941"/>
          </w:tcPr>
          <w:p>
            <w:pPr>
              <w:jc w:val="right"/>
            </w:pPr>
            <w:r>
              <w:rPr>
                <w:sz w:val="18"/>
              </w:rPr>
              <w:t>0.9321</w:t>
            </w:r>
          </w:p>
        </w:tc>
        <w:tc>
          <w:tcPr>
            <w:tcW w:type="dxa" w:w="941"/>
          </w:tcPr>
          <w:p>
            <w:pPr>
              <w:jc w:val="right"/>
            </w:pPr>
            <w:r>
              <w:rPr>
                <w:sz w:val="18"/>
              </w:rPr>
              <w:t>5.51</w:t>
            </w:r>
          </w:p>
        </w:tc>
      </w:tr>
      <w:tr>
        <w:tc>
          <w:tcPr>
            <w:tcW w:type="dxa" w:w="941"/>
          </w:tcPr>
          <w:p>
            <w:r>
              <w:rPr>
                <w:sz w:val="18"/>
              </w:rPr>
              <w:t>FY28</w:t>
            </w:r>
          </w:p>
        </w:tc>
        <w:tc>
          <w:tcPr>
            <w:tcW w:type="dxa" w:w="941"/>
          </w:tcPr>
          <w:p>
            <w:pPr>
              <w:jc w:val="right"/>
            </w:pPr>
            <w:r>
              <w:rPr>
                <w:sz w:val="18"/>
              </w:rPr>
              <w:t>104.50</w:t>
            </w:r>
          </w:p>
        </w:tc>
        <w:tc>
          <w:tcPr>
            <w:tcW w:type="dxa" w:w="941"/>
          </w:tcPr>
          <w:p>
            <w:pPr>
              <w:jc w:val="right"/>
            </w:pPr>
            <w:r>
              <w:rPr>
                <w:sz w:val="18"/>
              </w:rPr>
              <w:t>14.80</w:t>
            </w:r>
          </w:p>
        </w:tc>
        <w:tc>
          <w:tcPr>
            <w:tcW w:type="dxa" w:w="941"/>
          </w:tcPr>
          <w:p>
            <w:pPr>
              <w:jc w:val="right"/>
            </w:pPr>
            <w:r>
              <w:rPr>
                <w:sz w:val="18"/>
              </w:rPr>
              <w:t>3.80</w:t>
            </w:r>
          </w:p>
        </w:tc>
        <w:tc>
          <w:tcPr>
            <w:tcW w:type="dxa" w:w="941"/>
          </w:tcPr>
          <w:p>
            <w:pPr>
              <w:jc w:val="right"/>
            </w:pPr>
            <w:r>
              <w:rPr>
                <w:sz w:val="18"/>
              </w:rPr>
              <w:t>4.80</w:t>
            </w:r>
          </w:p>
        </w:tc>
        <w:tc>
          <w:tcPr>
            <w:tcW w:type="dxa" w:w="941"/>
          </w:tcPr>
          <w:p>
            <w:pPr>
              <w:jc w:val="right"/>
            </w:pPr>
            <w:r>
              <w:rPr>
                <w:sz w:val="18"/>
              </w:rPr>
              <w:t>0.90</w:t>
            </w:r>
          </w:p>
        </w:tc>
        <w:tc>
          <w:tcPr>
            <w:tcW w:type="dxa" w:w="941"/>
          </w:tcPr>
          <w:p>
            <w:pPr>
              <w:jc w:val="right"/>
            </w:pPr>
            <w:r>
              <w:rPr>
                <w:sz w:val="18"/>
              </w:rPr>
              <w:t>6.33</w:t>
            </w:r>
          </w:p>
        </w:tc>
        <w:tc>
          <w:tcPr>
            <w:tcW w:type="dxa" w:w="941"/>
          </w:tcPr>
          <w:p>
            <w:pPr>
              <w:jc w:val="right"/>
            </w:pPr>
            <w:r>
              <w:rPr>
                <w:sz w:val="18"/>
              </w:rPr>
              <w:t>1.5</w:t>
            </w:r>
          </w:p>
        </w:tc>
        <w:tc>
          <w:tcPr>
            <w:tcW w:type="dxa" w:w="941"/>
          </w:tcPr>
          <w:p>
            <w:pPr>
              <w:jc w:val="right"/>
            </w:pPr>
            <w:r>
              <w:rPr>
                <w:sz w:val="18"/>
              </w:rPr>
              <w:t>0.8099</w:t>
            </w:r>
          </w:p>
        </w:tc>
        <w:tc>
          <w:tcPr>
            <w:tcW w:type="dxa" w:w="941"/>
          </w:tcPr>
          <w:p>
            <w:pPr>
              <w:jc w:val="right"/>
            </w:pPr>
            <w:r>
              <w:rPr>
                <w:sz w:val="18"/>
              </w:rPr>
              <w:t>5.13</w:t>
            </w:r>
          </w:p>
        </w:tc>
      </w:tr>
      <w:tr>
        <w:tc>
          <w:tcPr>
            <w:tcW w:type="dxa" w:w="941"/>
          </w:tcPr>
          <w:p>
            <w:r>
              <w:rPr>
                <w:sz w:val="18"/>
              </w:rPr>
              <w:t>FY29</w:t>
            </w:r>
          </w:p>
        </w:tc>
        <w:tc>
          <w:tcPr>
            <w:tcW w:type="dxa" w:w="941"/>
          </w:tcPr>
          <w:p>
            <w:pPr>
              <w:jc w:val="right"/>
            </w:pPr>
            <w:r>
              <w:rPr>
                <w:sz w:val="18"/>
              </w:rPr>
              <w:t>110.00</w:t>
            </w:r>
          </w:p>
        </w:tc>
        <w:tc>
          <w:tcPr>
            <w:tcW w:type="dxa" w:w="941"/>
          </w:tcPr>
          <w:p>
            <w:pPr>
              <w:jc w:val="right"/>
            </w:pPr>
            <w:r>
              <w:rPr>
                <w:sz w:val="18"/>
              </w:rPr>
              <w:t>15.70</w:t>
            </w:r>
          </w:p>
        </w:tc>
        <w:tc>
          <w:tcPr>
            <w:tcW w:type="dxa" w:w="941"/>
          </w:tcPr>
          <w:p>
            <w:pPr>
              <w:jc w:val="right"/>
            </w:pPr>
            <w:r>
              <w:rPr>
                <w:sz w:val="18"/>
              </w:rPr>
              <w:t>4.00</w:t>
            </w:r>
          </w:p>
        </w:tc>
        <w:tc>
          <w:tcPr>
            <w:tcW w:type="dxa" w:w="941"/>
          </w:tcPr>
          <w:p>
            <w:pPr>
              <w:jc w:val="right"/>
            </w:pPr>
            <w:r>
              <w:rPr>
                <w:sz w:val="18"/>
              </w:rPr>
              <w:t>5.00</w:t>
            </w:r>
          </w:p>
        </w:tc>
        <w:tc>
          <w:tcPr>
            <w:tcW w:type="dxa" w:w="941"/>
          </w:tcPr>
          <w:p>
            <w:pPr>
              <w:jc w:val="right"/>
            </w:pPr>
            <w:r>
              <w:rPr>
                <w:sz w:val="18"/>
              </w:rPr>
              <w:t>0.90</w:t>
            </w:r>
          </w:p>
        </w:tc>
        <w:tc>
          <w:tcPr>
            <w:tcW w:type="dxa" w:w="941"/>
          </w:tcPr>
          <w:p>
            <w:pPr>
              <w:jc w:val="right"/>
            </w:pPr>
            <w:r>
              <w:rPr>
                <w:sz w:val="18"/>
              </w:rPr>
              <w:t>6.86</w:t>
            </w:r>
          </w:p>
        </w:tc>
        <w:tc>
          <w:tcPr>
            <w:tcW w:type="dxa" w:w="941"/>
          </w:tcPr>
          <w:p>
            <w:pPr>
              <w:jc w:val="right"/>
            </w:pPr>
            <w:r>
              <w:rPr>
                <w:sz w:val="18"/>
              </w:rPr>
              <w:t>2.5</w:t>
            </w:r>
          </w:p>
        </w:tc>
        <w:tc>
          <w:tcPr>
            <w:tcW w:type="dxa" w:w="941"/>
          </w:tcPr>
          <w:p>
            <w:pPr>
              <w:jc w:val="right"/>
            </w:pPr>
            <w:r>
              <w:rPr>
                <w:sz w:val="18"/>
              </w:rPr>
              <w:t>0.7037</w:t>
            </w:r>
          </w:p>
        </w:tc>
        <w:tc>
          <w:tcPr>
            <w:tcW w:type="dxa" w:w="941"/>
          </w:tcPr>
          <w:p>
            <w:pPr>
              <w:jc w:val="right"/>
            </w:pPr>
            <w:r>
              <w:rPr>
                <w:sz w:val="18"/>
              </w:rPr>
              <w:t>4.82</w:t>
            </w:r>
          </w:p>
        </w:tc>
      </w:tr>
      <w:tr>
        <w:tc>
          <w:tcPr>
            <w:tcW w:type="dxa" w:w="941"/>
          </w:tcPr>
          <w:p>
            <w:r>
              <w:rPr>
                <w:sz w:val="18"/>
              </w:rPr>
              <w:t>FY30</w:t>
            </w:r>
          </w:p>
        </w:tc>
        <w:tc>
          <w:tcPr>
            <w:tcW w:type="dxa" w:w="941"/>
          </w:tcPr>
          <w:p>
            <w:pPr>
              <w:jc w:val="right"/>
            </w:pPr>
            <w:r>
              <w:rPr>
                <w:sz w:val="18"/>
              </w:rPr>
              <w:t>115.50</w:t>
            </w:r>
          </w:p>
        </w:tc>
        <w:tc>
          <w:tcPr>
            <w:tcW w:type="dxa" w:w="941"/>
          </w:tcPr>
          <w:p>
            <w:pPr>
              <w:jc w:val="right"/>
            </w:pPr>
            <w:r>
              <w:rPr>
                <w:sz w:val="18"/>
              </w:rPr>
              <w:t>16.60</w:t>
            </w:r>
          </w:p>
        </w:tc>
        <w:tc>
          <w:tcPr>
            <w:tcW w:type="dxa" w:w="941"/>
          </w:tcPr>
          <w:p>
            <w:pPr>
              <w:jc w:val="right"/>
            </w:pPr>
            <w:r>
              <w:rPr>
                <w:sz w:val="18"/>
              </w:rPr>
              <w:t>4.20</w:t>
            </w:r>
          </w:p>
        </w:tc>
        <w:tc>
          <w:tcPr>
            <w:tcW w:type="dxa" w:w="941"/>
          </w:tcPr>
          <w:p>
            <w:pPr>
              <w:jc w:val="right"/>
            </w:pPr>
            <w:r>
              <w:rPr>
                <w:sz w:val="18"/>
              </w:rPr>
              <w:t>5.20</w:t>
            </w:r>
          </w:p>
        </w:tc>
        <w:tc>
          <w:tcPr>
            <w:tcW w:type="dxa" w:w="941"/>
          </w:tcPr>
          <w:p>
            <w:pPr>
              <w:jc w:val="right"/>
            </w:pPr>
            <w:r>
              <w:rPr>
                <w:sz w:val="18"/>
              </w:rPr>
              <w:t>0.90</w:t>
            </w:r>
          </w:p>
        </w:tc>
        <w:tc>
          <w:tcPr>
            <w:tcW w:type="dxa" w:w="941"/>
          </w:tcPr>
          <w:p>
            <w:pPr>
              <w:jc w:val="right"/>
            </w:pPr>
            <w:r>
              <w:rPr>
                <w:sz w:val="18"/>
              </w:rPr>
              <w:t>7.38</w:t>
            </w:r>
          </w:p>
        </w:tc>
        <w:tc>
          <w:tcPr>
            <w:tcW w:type="dxa" w:w="941"/>
          </w:tcPr>
          <w:p>
            <w:pPr>
              <w:jc w:val="right"/>
            </w:pPr>
            <w:r>
              <w:rPr>
                <w:sz w:val="18"/>
              </w:rPr>
              <w:t>3.5</w:t>
            </w:r>
          </w:p>
        </w:tc>
        <w:tc>
          <w:tcPr>
            <w:tcW w:type="dxa" w:w="941"/>
          </w:tcPr>
          <w:p>
            <w:pPr>
              <w:jc w:val="right"/>
            </w:pPr>
            <w:r>
              <w:rPr>
                <w:sz w:val="18"/>
              </w:rPr>
              <w:t>0.6115</w:t>
            </w:r>
          </w:p>
        </w:tc>
        <w:tc>
          <w:tcPr>
            <w:tcW w:type="dxa" w:w="941"/>
          </w:tcPr>
          <w:p>
            <w:pPr>
              <w:jc w:val="right"/>
            </w:pPr>
            <w:r>
              <w:rPr>
                <w:sz w:val="18"/>
              </w:rPr>
              <w:t>4.51</w:t>
            </w:r>
          </w:p>
        </w:tc>
      </w:tr>
      <w:tr>
        <w:tc>
          <w:tcPr>
            <w:tcW w:type="dxa" w:w="941"/>
          </w:tcPr>
          <w:p>
            <w:r>
              <w:rPr>
                <w:sz w:val="18"/>
              </w:rPr>
              <w:t>FY31</w:t>
            </w:r>
          </w:p>
        </w:tc>
        <w:tc>
          <w:tcPr>
            <w:tcW w:type="dxa" w:w="941"/>
          </w:tcPr>
          <w:p>
            <w:pPr>
              <w:jc w:val="right"/>
            </w:pPr>
            <w:r>
              <w:rPr>
                <w:sz w:val="18"/>
              </w:rPr>
              <w:t>121.00</w:t>
            </w:r>
          </w:p>
        </w:tc>
        <w:tc>
          <w:tcPr>
            <w:tcW w:type="dxa" w:w="941"/>
          </w:tcPr>
          <w:p>
            <w:pPr>
              <w:jc w:val="right"/>
            </w:pPr>
            <w:r>
              <w:rPr>
                <w:sz w:val="18"/>
              </w:rPr>
              <w:t>17.50</w:t>
            </w:r>
          </w:p>
        </w:tc>
        <w:tc>
          <w:tcPr>
            <w:tcW w:type="dxa" w:w="941"/>
          </w:tcPr>
          <w:p>
            <w:pPr>
              <w:jc w:val="right"/>
            </w:pPr>
            <w:r>
              <w:rPr>
                <w:sz w:val="18"/>
              </w:rPr>
              <w:t>4.40</w:t>
            </w:r>
          </w:p>
        </w:tc>
        <w:tc>
          <w:tcPr>
            <w:tcW w:type="dxa" w:w="941"/>
          </w:tcPr>
          <w:p>
            <w:pPr>
              <w:jc w:val="right"/>
            </w:pPr>
            <w:r>
              <w:rPr>
                <w:sz w:val="18"/>
              </w:rPr>
              <w:t>5.40</w:t>
            </w:r>
          </w:p>
        </w:tc>
        <w:tc>
          <w:tcPr>
            <w:tcW w:type="dxa" w:w="941"/>
          </w:tcPr>
          <w:p>
            <w:pPr>
              <w:jc w:val="right"/>
            </w:pPr>
            <w:r>
              <w:rPr>
                <w:sz w:val="18"/>
              </w:rPr>
              <w:t>0.90</w:t>
            </w:r>
          </w:p>
        </w:tc>
        <w:tc>
          <w:tcPr>
            <w:tcW w:type="dxa" w:w="941"/>
          </w:tcPr>
          <w:p>
            <w:pPr>
              <w:jc w:val="right"/>
            </w:pPr>
            <w:r>
              <w:rPr>
                <w:sz w:val="18"/>
              </w:rPr>
              <w:t>7.90</w:t>
            </w:r>
          </w:p>
        </w:tc>
        <w:tc>
          <w:tcPr>
            <w:tcW w:type="dxa" w:w="941"/>
          </w:tcPr>
          <w:p>
            <w:pPr>
              <w:jc w:val="right"/>
            </w:pPr>
            <w:r>
              <w:rPr>
                <w:sz w:val="18"/>
              </w:rPr>
              <w:t>4.5</w:t>
            </w:r>
          </w:p>
        </w:tc>
        <w:tc>
          <w:tcPr>
            <w:tcW w:type="dxa" w:w="941"/>
          </w:tcPr>
          <w:p>
            <w:pPr>
              <w:jc w:val="right"/>
            </w:pPr>
            <w:r>
              <w:rPr>
                <w:sz w:val="18"/>
              </w:rPr>
              <w:t>0.5313</w:t>
            </w:r>
          </w:p>
        </w:tc>
        <w:tc>
          <w:tcPr>
            <w:tcW w:type="dxa" w:w="941"/>
          </w:tcPr>
          <w:p>
            <w:pPr>
              <w:jc w:val="right"/>
            </w:pPr>
            <w:r>
              <w:rPr>
                <w:sz w:val="18"/>
              </w:rPr>
              <w:t>4.20</w:t>
            </w:r>
          </w:p>
        </w:tc>
      </w:tr>
    </w:tbl>
    <w:p/>
    <w:tbl>
      <w:tblPr>
        <w:tblStyle w:val="TableGrid"/>
        <w:tblW w:type="auto" w:w="0"/>
        <w:jc w:val="center"/>
        <w:tblLayout w:type="fixed"/>
        <w:tblLook w:firstColumn="1" w:firstRow="1" w:lastColumn="0" w:lastRow="0" w:noHBand="0" w:noVBand="1" w:val="04A0"/>
      </w:tblPr>
      <w:tblGrid>
        <w:gridCol w:w="5669"/>
        <w:gridCol w:w="3685"/>
      </w:tblGrid>
      <w:tr>
        <w:tc>
          <w:tcPr>
            <w:tcW w:type="dxa" w:w="5669"/>
            <w:shd w:val="clear" w:color="auto" w:fill="D9E2F3"/>
          </w:tcPr>
          <w:p>
            <w:r/>
            <w:r>
              <w:rPr>
                <w:b/>
              </w:rPr>
              <w:t>Item</w:t>
            </w:r>
          </w:p>
        </w:tc>
        <w:tc>
          <w:tcPr>
            <w:tcW w:type="dxa" w:w="3685"/>
            <w:shd w:val="clear" w:color="auto" w:fill="D9E2F3"/>
          </w:tcPr>
          <w:p>
            <w:r/>
            <w:r>
              <w:rPr>
                <w:b/>
              </w:rPr>
              <w:t>Value</w:t>
            </w:r>
          </w:p>
        </w:tc>
      </w:tr>
      <w:tr>
        <w:tc>
          <w:tcPr>
            <w:tcW w:type="dxa" w:w="5669"/>
          </w:tcPr>
          <w:p>
            <w:r>
              <w:t>Sum of PV of FCFF</w:t>
            </w:r>
          </w:p>
        </w:tc>
        <w:tc>
          <w:tcPr>
            <w:tcW w:type="dxa" w:w="3685"/>
          </w:tcPr>
          <w:p>
            <w:pPr>
              <w:jc w:val="right"/>
            </w:pPr>
            <w:r>
              <w:t>24.17</w:t>
            </w:r>
          </w:p>
        </w:tc>
      </w:tr>
      <w:tr>
        <w:tc>
          <w:tcPr>
            <w:tcW w:type="dxa" w:w="5669"/>
          </w:tcPr>
          <w:p>
            <w:r>
              <w:t>Terminal value</w:t>
            </w:r>
          </w:p>
        </w:tc>
        <w:tc>
          <w:tcPr>
            <w:tcW w:type="dxa" w:w="3685"/>
          </w:tcPr>
          <w:p>
            <w:pPr>
              <w:jc w:val="right"/>
            </w:pPr>
            <w:r>
              <w:t>74.12</w:t>
            </w:r>
          </w:p>
        </w:tc>
      </w:tr>
      <w:tr>
        <w:tc>
          <w:tcPr>
            <w:tcW w:type="dxa" w:w="5669"/>
          </w:tcPr>
          <w:p>
            <w:r>
              <w:t>PV of terminal value</w:t>
            </w:r>
          </w:p>
        </w:tc>
        <w:tc>
          <w:tcPr>
            <w:tcW w:type="dxa" w:w="3685"/>
          </w:tcPr>
          <w:p>
            <w:pPr>
              <w:jc w:val="right"/>
            </w:pPr>
            <w:r>
              <w:t>36.71</w:t>
            </w:r>
          </w:p>
        </w:tc>
      </w:tr>
      <w:tr>
        <w:tc>
          <w:tcPr>
            <w:tcW w:type="dxa" w:w="5669"/>
          </w:tcPr>
          <w:p>
            <w:r>
              <w:t>Enterprise value</w:t>
            </w:r>
          </w:p>
        </w:tc>
        <w:tc>
          <w:tcPr>
            <w:tcW w:type="dxa" w:w="3685"/>
          </w:tcPr>
          <w:p>
            <w:pPr>
              <w:jc w:val="right"/>
            </w:pPr>
            <w:r>
              <w:t>60.88</w:t>
            </w:r>
          </w:p>
        </w:tc>
      </w:tr>
      <w:tr>
        <w:tc>
          <w:tcPr>
            <w:tcW w:type="dxa" w:w="5669"/>
          </w:tcPr>
          <w:p>
            <w:r>
              <w:t>Less: debt</w:t>
            </w:r>
          </w:p>
        </w:tc>
        <w:tc>
          <w:tcPr>
            <w:tcW w:type="dxa" w:w="3685"/>
          </w:tcPr>
          <w:p>
            <w:pPr>
              <w:jc w:val="right"/>
            </w:pPr>
            <w:r>
              <w:t>18.00</w:t>
            </w:r>
          </w:p>
        </w:tc>
      </w:tr>
      <w:tr>
        <w:tc>
          <w:tcPr>
            <w:tcW w:type="dxa" w:w="5669"/>
          </w:tcPr>
          <w:p>
            <w:r>
              <w:t>Add: cash</w:t>
            </w:r>
          </w:p>
        </w:tc>
        <w:tc>
          <w:tcPr>
            <w:tcW w:type="dxa" w:w="3685"/>
          </w:tcPr>
          <w:p>
            <w:pPr>
              <w:jc w:val="right"/>
            </w:pPr>
            <w:r>
              <w:t>2.50</w:t>
            </w:r>
          </w:p>
        </w:tc>
      </w:tr>
      <w:tr>
        <w:tc>
          <w:tcPr>
            <w:tcW w:type="dxa" w:w="5669"/>
          </w:tcPr>
          <w:p>
            <w:r>
              <w:t>Equity value</w:t>
            </w:r>
          </w:p>
        </w:tc>
        <w:tc>
          <w:tcPr>
            <w:tcW w:type="dxa" w:w="3685"/>
          </w:tcPr>
          <w:p>
            <w:pPr>
              <w:jc w:val="right"/>
            </w:pPr>
            <w:r>
              <w:t>45.38</w:t>
            </w:r>
          </w:p>
        </w:tc>
      </w:tr>
      <w:tr>
        <w:tc>
          <w:tcPr>
            <w:tcW w:type="dxa" w:w="5669"/>
          </w:tcPr>
          <w:p>
            <w:r>
              <w:t>Value per share (INR)</w:t>
            </w:r>
          </w:p>
        </w:tc>
        <w:tc>
          <w:tcPr>
            <w:tcW w:type="dxa" w:w="3685"/>
          </w:tcPr>
          <w:p>
            <w:pPr>
              <w:jc w:val="right"/>
            </w:pPr>
            <w:r>
              <w:t>22.69</w:t>
            </w:r>
          </w:p>
        </w:tc>
      </w:tr>
    </w:tbl>
    <w:p/>
    <w:p>
      <w:pPr>
        <w:pStyle w:val="Heading2"/>
      </w:pPr>
      <w:r>
        <w:t>B3. Sensitivity of equity value (INR crore): WACC vs terminal growth</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9E2F3"/>
          </w:tcPr>
          <w:p>
            <w:r/>
            <w:r>
              <w:rPr>
                <w:b/>
              </w:rPr>
              <w:t>WACC \ g</w:t>
            </w:r>
          </w:p>
        </w:tc>
        <w:tc>
          <w:tcPr>
            <w:tcW w:type="dxa" w:w="1569"/>
            <w:shd w:val="clear" w:color="auto" w:fill="D9E2F3"/>
          </w:tcPr>
          <w:p>
            <w:r/>
            <w:r>
              <w:rPr>
                <w:b/>
              </w:rPr>
              <w:t>3.00%</w:t>
            </w:r>
          </w:p>
        </w:tc>
        <w:tc>
          <w:tcPr>
            <w:tcW w:type="dxa" w:w="1569"/>
            <w:shd w:val="clear" w:color="auto" w:fill="D9E2F3"/>
          </w:tcPr>
          <w:p>
            <w:r/>
            <w:r>
              <w:rPr>
                <w:b/>
              </w:rPr>
              <w:t>3.50%</w:t>
            </w:r>
          </w:p>
        </w:tc>
        <w:tc>
          <w:tcPr>
            <w:tcW w:type="dxa" w:w="1569"/>
            <w:shd w:val="clear" w:color="auto" w:fill="D9E2F3"/>
          </w:tcPr>
          <w:p>
            <w:r/>
            <w:r>
              <w:rPr>
                <w:b/>
              </w:rPr>
              <w:t>4.00%</w:t>
            </w:r>
          </w:p>
        </w:tc>
        <w:tc>
          <w:tcPr>
            <w:tcW w:type="dxa" w:w="1569"/>
            <w:shd w:val="clear" w:color="auto" w:fill="D9E2F3"/>
          </w:tcPr>
          <w:p>
            <w:r/>
            <w:r>
              <w:rPr>
                <w:b/>
              </w:rPr>
              <w:t>4.50%</w:t>
            </w:r>
          </w:p>
        </w:tc>
        <w:tc>
          <w:tcPr>
            <w:tcW w:type="dxa" w:w="1569"/>
            <w:shd w:val="clear" w:color="auto" w:fill="D9E2F3"/>
          </w:tcPr>
          <w:p>
            <w:r/>
            <w:r>
              <w:rPr>
                <w:b/>
              </w:rPr>
              <w:t>5.00%</w:t>
            </w:r>
          </w:p>
        </w:tc>
      </w:tr>
      <w:tr>
        <w:tc>
          <w:tcPr>
            <w:tcW w:type="dxa" w:w="1569"/>
          </w:tcPr>
          <w:p>
            <w:r>
              <w:t>13.09%</w:t>
            </w:r>
          </w:p>
        </w:tc>
        <w:tc>
          <w:tcPr>
            <w:tcW w:type="dxa" w:w="1569"/>
          </w:tcPr>
          <w:p>
            <w:pPr>
              <w:jc w:val="right"/>
            </w:pPr>
            <w:r>
              <w:t>53.32</w:t>
            </w:r>
          </w:p>
        </w:tc>
        <w:tc>
          <w:tcPr>
            <w:tcW w:type="dxa" w:w="1569"/>
          </w:tcPr>
          <w:p>
            <w:pPr>
              <w:jc w:val="right"/>
            </w:pPr>
            <w:r>
              <w:t>55.81</w:t>
            </w:r>
          </w:p>
        </w:tc>
        <w:tc>
          <w:tcPr>
            <w:tcW w:type="dxa" w:w="1569"/>
          </w:tcPr>
          <w:p>
            <w:pPr>
              <w:jc w:val="right"/>
            </w:pPr>
            <w:r>
              <w:t>58.59</w:t>
            </w:r>
          </w:p>
        </w:tc>
        <w:tc>
          <w:tcPr>
            <w:tcW w:type="dxa" w:w="1569"/>
          </w:tcPr>
          <w:p>
            <w:pPr>
              <w:jc w:val="right"/>
            </w:pPr>
            <w:r>
              <w:t>61.68</w:t>
            </w:r>
          </w:p>
        </w:tc>
        <w:tc>
          <w:tcPr>
            <w:tcW w:type="dxa" w:w="1569"/>
          </w:tcPr>
          <w:p>
            <w:pPr>
              <w:jc w:val="right"/>
            </w:pPr>
            <w:r>
              <w:t>65.16</w:t>
            </w:r>
          </w:p>
        </w:tc>
      </w:tr>
      <w:tr>
        <w:tc>
          <w:tcPr>
            <w:tcW w:type="dxa" w:w="1569"/>
          </w:tcPr>
          <w:p>
            <w:r>
              <w:t>14.09%</w:t>
            </w:r>
          </w:p>
        </w:tc>
        <w:tc>
          <w:tcPr>
            <w:tcW w:type="dxa" w:w="1569"/>
          </w:tcPr>
          <w:p>
            <w:pPr>
              <w:jc w:val="right"/>
            </w:pPr>
            <w:r>
              <w:t>47.15</w:t>
            </w:r>
          </w:p>
        </w:tc>
        <w:tc>
          <w:tcPr>
            <w:tcW w:type="dxa" w:w="1569"/>
          </w:tcPr>
          <w:p>
            <w:pPr>
              <w:jc w:val="right"/>
            </w:pPr>
            <w:r>
              <w:t>49.14</w:t>
            </w:r>
          </w:p>
        </w:tc>
        <w:tc>
          <w:tcPr>
            <w:tcW w:type="dxa" w:w="1569"/>
          </w:tcPr>
          <w:p>
            <w:pPr>
              <w:jc w:val="right"/>
            </w:pPr>
            <w:r>
              <w:t>51.32</w:t>
            </w:r>
          </w:p>
        </w:tc>
        <w:tc>
          <w:tcPr>
            <w:tcW w:type="dxa" w:w="1569"/>
          </w:tcPr>
          <w:p>
            <w:pPr>
              <w:jc w:val="right"/>
            </w:pPr>
            <w:r>
              <w:t>53.73</w:t>
            </w:r>
          </w:p>
        </w:tc>
        <w:tc>
          <w:tcPr>
            <w:tcW w:type="dxa" w:w="1569"/>
          </w:tcPr>
          <w:p>
            <w:pPr>
              <w:jc w:val="right"/>
            </w:pPr>
            <w:r>
              <w:t>56.41</w:t>
            </w:r>
          </w:p>
        </w:tc>
      </w:tr>
      <w:tr>
        <w:tc>
          <w:tcPr>
            <w:tcW w:type="dxa" w:w="1569"/>
          </w:tcPr>
          <w:p>
            <w:r>
              <w:t>15.09%</w:t>
            </w:r>
          </w:p>
        </w:tc>
        <w:tc>
          <w:tcPr>
            <w:tcW w:type="dxa" w:w="1569"/>
          </w:tcPr>
          <w:p>
            <w:pPr>
              <w:jc w:val="right"/>
            </w:pPr>
            <w:r>
              <w:t>42.02</w:t>
            </w:r>
          </w:p>
        </w:tc>
        <w:tc>
          <w:tcPr>
            <w:tcW w:type="dxa" w:w="1569"/>
          </w:tcPr>
          <w:p>
            <w:pPr>
              <w:jc w:val="right"/>
            </w:pPr>
            <w:r>
              <w:t>43.62</w:t>
            </w:r>
          </w:p>
        </w:tc>
        <w:tc>
          <w:tcPr>
            <w:tcW w:type="dxa" w:w="1569"/>
          </w:tcPr>
          <w:p>
            <w:pPr>
              <w:jc w:val="right"/>
            </w:pPr>
            <w:r>
              <w:t>45.38</w:t>
            </w:r>
          </w:p>
        </w:tc>
        <w:tc>
          <w:tcPr>
            <w:tcW w:type="dxa" w:w="1569"/>
          </w:tcPr>
          <w:p>
            <w:pPr>
              <w:jc w:val="right"/>
            </w:pPr>
            <w:r>
              <w:t>47.29</w:t>
            </w:r>
          </w:p>
        </w:tc>
        <w:tc>
          <w:tcPr>
            <w:tcW w:type="dxa" w:w="1569"/>
          </w:tcPr>
          <w:p>
            <w:pPr>
              <w:jc w:val="right"/>
            </w:pPr>
            <w:r>
              <w:t>49.40</w:t>
            </w:r>
          </w:p>
        </w:tc>
      </w:tr>
      <w:tr>
        <w:tc>
          <w:tcPr>
            <w:tcW w:type="dxa" w:w="1569"/>
          </w:tcPr>
          <w:p>
            <w:r>
              <w:t>16.09%</w:t>
            </w:r>
          </w:p>
        </w:tc>
        <w:tc>
          <w:tcPr>
            <w:tcW w:type="dxa" w:w="1569"/>
          </w:tcPr>
          <w:p>
            <w:pPr>
              <w:jc w:val="right"/>
            </w:pPr>
            <w:r>
              <w:t>37.68</w:t>
            </w:r>
          </w:p>
        </w:tc>
        <w:tc>
          <w:tcPr>
            <w:tcW w:type="dxa" w:w="1569"/>
          </w:tcPr>
          <w:p>
            <w:pPr>
              <w:jc w:val="right"/>
            </w:pPr>
            <w:r>
              <w:t>39.00</w:t>
            </w:r>
          </w:p>
        </w:tc>
        <w:tc>
          <w:tcPr>
            <w:tcW w:type="dxa" w:w="1569"/>
          </w:tcPr>
          <w:p>
            <w:pPr>
              <w:jc w:val="right"/>
            </w:pPr>
            <w:r>
              <w:t>40.43</w:t>
            </w:r>
          </w:p>
        </w:tc>
        <w:tc>
          <w:tcPr>
            <w:tcW w:type="dxa" w:w="1569"/>
          </w:tcPr>
          <w:p>
            <w:pPr>
              <w:jc w:val="right"/>
            </w:pPr>
            <w:r>
              <w:t>41.98</w:t>
            </w:r>
          </w:p>
        </w:tc>
        <w:tc>
          <w:tcPr>
            <w:tcW w:type="dxa" w:w="1569"/>
          </w:tcPr>
          <w:p>
            <w:pPr>
              <w:jc w:val="right"/>
            </w:pPr>
            <w:r>
              <w:t>43.67</w:t>
            </w:r>
          </w:p>
        </w:tc>
      </w:tr>
      <w:tr>
        <w:tc>
          <w:tcPr>
            <w:tcW w:type="dxa" w:w="1569"/>
          </w:tcPr>
          <w:p>
            <w:r>
              <w:t>17.09%</w:t>
            </w:r>
          </w:p>
        </w:tc>
        <w:tc>
          <w:tcPr>
            <w:tcW w:type="dxa" w:w="1569"/>
          </w:tcPr>
          <w:p>
            <w:pPr>
              <w:jc w:val="right"/>
            </w:pPr>
            <w:r>
              <w:t>33.96</w:t>
            </w:r>
          </w:p>
        </w:tc>
        <w:tc>
          <w:tcPr>
            <w:tcW w:type="dxa" w:w="1569"/>
          </w:tcPr>
          <w:p>
            <w:pPr>
              <w:jc w:val="right"/>
            </w:pPr>
            <w:r>
              <w:t>35.06</w:t>
            </w:r>
          </w:p>
        </w:tc>
        <w:tc>
          <w:tcPr>
            <w:tcW w:type="dxa" w:w="1569"/>
          </w:tcPr>
          <w:p>
            <w:pPr>
              <w:jc w:val="right"/>
            </w:pPr>
            <w:r>
              <w:t>36.24</w:t>
            </w:r>
          </w:p>
        </w:tc>
        <w:tc>
          <w:tcPr>
            <w:tcW w:type="dxa" w:w="1569"/>
          </w:tcPr>
          <w:p>
            <w:pPr>
              <w:jc w:val="right"/>
            </w:pPr>
            <w:r>
              <w:t>37.52</w:t>
            </w:r>
          </w:p>
        </w:tc>
        <w:tc>
          <w:tcPr>
            <w:tcW w:type="dxa" w:w="1569"/>
          </w:tcPr>
          <w:p>
            <w:pPr>
              <w:jc w:val="right"/>
            </w:pPr>
            <w:r>
              <w:t>38.90</w:t>
            </w:r>
          </w:p>
        </w:tc>
      </w:tr>
    </w:tbl>
    <w:p/>
    <w:p>
      <w:pPr>
        <w:pStyle w:val="Heading2"/>
      </w:pPr>
      <w:r>
        <w:t>B4. Receivables (IBBI Part I(c))</w:t>
      </w:r>
    </w:p>
    <w:tbl>
      <w:tblPr>
        <w:tblStyle w:val="TableGrid"/>
        <w:tblW w:type="auto" w:w="0"/>
        <w:jc w:val="center"/>
        <w:tblLayout w:type="fixed"/>
        <w:tblLook w:firstColumn="1" w:firstRow="1" w:lastColumn="0" w:lastRow="0" w:noHBand="0" w:noVBand="1" w:val="04A0"/>
      </w:tblPr>
      <w:tblGrid>
        <w:gridCol w:w="1077"/>
        <w:gridCol w:w="1134"/>
        <w:gridCol w:w="850"/>
        <w:gridCol w:w="850"/>
        <w:gridCol w:w="907"/>
        <w:gridCol w:w="964"/>
        <w:gridCol w:w="907"/>
        <w:gridCol w:w="680"/>
        <w:gridCol w:w="680"/>
        <w:gridCol w:w="1361"/>
      </w:tblGrid>
      <w:tr>
        <w:tc>
          <w:tcPr>
            <w:tcW w:type="dxa" w:w="1077"/>
            <w:shd w:val="clear" w:color="auto" w:fill="D9E2F3"/>
          </w:tcPr>
          <w:p>
            <w:r>
              <w:rPr>
                <w:sz w:val="17"/>
              </w:rPr>
            </w:r>
            <w:r>
              <w:rPr>
                <w:b/>
                <w:sz w:val="17"/>
              </w:rPr>
              <w:t>Debtor</w:t>
            </w:r>
          </w:p>
        </w:tc>
        <w:tc>
          <w:tcPr>
            <w:tcW w:type="dxa" w:w="1134"/>
            <w:shd w:val="clear" w:color="auto" w:fill="D9E2F3"/>
          </w:tcPr>
          <w:p>
            <w:r>
              <w:rPr>
                <w:sz w:val="17"/>
              </w:rPr>
            </w:r>
            <w:r>
              <w:rPr>
                <w:b/>
                <w:sz w:val="17"/>
              </w:rPr>
              <w:t>Nature</w:t>
            </w:r>
          </w:p>
        </w:tc>
        <w:tc>
          <w:tcPr>
            <w:tcW w:type="dxa" w:w="850"/>
            <w:shd w:val="clear" w:color="auto" w:fill="D9E2F3"/>
          </w:tcPr>
          <w:p>
            <w:r>
              <w:rPr>
                <w:sz w:val="17"/>
              </w:rPr>
            </w:r>
            <w:r>
              <w:rPr>
                <w:b/>
                <w:sz w:val="17"/>
              </w:rPr>
              <w:t>Related</w:t>
            </w:r>
          </w:p>
        </w:tc>
        <w:tc>
          <w:tcPr>
            <w:tcW w:type="dxa" w:w="850"/>
            <w:shd w:val="clear" w:color="auto" w:fill="D9E2F3"/>
          </w:tcPr>
          <w:p>
            <w:r>
              <w:rPr>
                <w:sz w:val="17"/>
              </w:rPr>
            </w:r>
            <w:r>
              <w:rPr>
                <w:b/>
                <w:sz w:val="17"/>
              </w:rPr>
              <w:t>Secured</w:t>
            </w:r>
          </w:p>
        </w:tc>
        <w:tc>
          <w:tcPr>
            <w:tcW w:type="dxa" w:w="907"/>
            <w:shd w:val="clear" w:color="auto" w:fill="D9E2F3"/>
          </w:tcPr>
          <w:p>
            <w:r>
              <w:rPr>
                <w:sz w:val="17"/>
              </w:rPr>
            </w:r>
            <w:r>
              <w:rPr>
                <w:b/>
                <w:sz w:val="17"/>
              </w:rPr>
              <w:t>Disputed</w:t>
            </w:r>
          </w:p>
        </w:tc>
        <w:tc>
          <w:tcPr>
            <w:tcW w:type="dxa" w:w="964"/>
            <w:shd w:val="clear" w:color="auto" w:fill="D9E2F3"/>
          </w:tcPr>
          <w:p>
            <w:r>
              <w:rPr>
                <w:sz w:val="17"/>
              </w:rPr>
            </w:r>
            <w:r>
              <w:rPr>
                <w:b/>
                <w:sz w:val="17"/>
              </w:rPr>
              <w:t>Age</w:t>
            </w:r>
          </w:p>
        </w:tc>
        <w:tc>
          <w:tcPr>
            <w:tcW w:type="dxa" w:w="907"/>
            <w:shd w:val="clear" w:color="auto" w:fill="D9E2F3"/>
          </w:tcPr>
          <w:p>
            <w:r>
              <w:rPr>
                <w:sz w:val="17"/>
              </w:rPr>
            </w:r>
            <w:r>
              <w:rPr>
                <w:b/>
                <w:sz w:val="17"/>
              </w:rPr>
              <w:t>Amount</w:t>
            </w:r>
          </w:p>
        </w:tc>
        <w:tc>
          <w:tcPr>
            <w:tcW w:type="dxa" w:w="680"/>
            <w:shd w:val="clear" w:color="auto" w:fill="D9E2F3"/>
          </w:tcPr>
          <w:p>
            <w:r>
              <w:rPr>
                <w:sz w:val="17"/>
              </w:rPr>
            </w:r>
            <w:r>
              <w:rPr>
                <w:b/>
                <w:sz w:val="17"/>
              </w:rPr>
              <w:t>FV %</w:t>
            </w:r>
          </w:p>
        </w:tc>
        <w:tc>
          <w:tcPr>
            <w:tcW w:type="dxa" w:w="680"/>
            <w:shd w:val="clear" w:color="auto" w:fill="D9E2F3"/>
          </w:tcPr>
          <w:p>
            <w:r>
              <w:rPr>
                <w:sz w:val="17"/>
              </w:rPr>
            </w:r>
            <w:r>
              <w:rPr>
                <w:b/>
                <w:sz w:val="17"/>
              </w:rPr>
              <w:t>LV %</w:t>
            </w:r>
          </w:p>
        </w:tc>
        <w:tc>
          <w:tcPr>
            <w:tcW w:type="dxa" w:w="1361"/>
            <w:shd w:val="clear" w:color="auto" w:fill="D9E2F3"/>
          </w:tcPr>
          <w:p>
            <w:r>
              <w:rPr>
                <w:sz w:val="17"/>
              </w:rPr>
            </w:r>
            <w:r>
              <w:rPr>
                <w:b/>
                <w:sz w:val="17"/>
              </w:rPr>
              <w:t>Remarks</w:t>
            </w:r>
          </w:p>
        </w:tc>
      </w:tr>
      <w:tr>
        <w:tc>
          <w:tcPr>
            <w:tcW w:type="dxa" w:w="1077"/>
          </w:tcPr>
          <w:p>
            <w:r>
              <w:rPr>
                <w:sz w:val="17"/>
              </w:rPr>
              <w:t>Customer A</w:t>
            </w:r>
          </w:p>
        </w:tc>
        <w:tc>
          <w:tcPr>
            <w:tcW w:type="dxa" w:w="1134"/>
          </w:tcPr>
          <w:p>
            <w:r>
              <w:rPr>
                <w:sz w:val="17"/>
              </w:rPr>
              <w:t>Trade receivable</w:t>
            </w:r>
          </w:p>
        </w:tc>
        <w:tc>
          <w:tcPr>
            <w:tcW w:type="dxa" w:w="850"/>
          </w:tcPr>
          <w:p>
            <w:r>
              <w:rPr>
                <w:sz w:val="17"/>
              </w:rPr>
              <w:t>No</w:t>
            </w:r>
          </w:p>
        </w:tc>
        <w:tc>
          <w:tcPr>
            <w:tcW w:type="dxa" w:w="850"/>
          </w:tcPr>
          <w:p>
            <w:r>
              <w:rPr>
                <w:sz w:val="17"/>
              </w:rPr>
              <w:t>No</w:t>
            </w:r>
          </w:p>
        </w:tc>
        <w:tc>
          <w:tcPr>
            <w:tcW w:type="dxa" w:w="907"/>
          </w:tcPr>
          <w:p>
            <w:r>
              <w:rPr>
                <w:sz w:val="17"/>
              </w:rPr>
              <w:t>No</w:t>
            </w:r>
          </w:p>
        </w:tc>
        <w:tc>
          <w:tcPr>
            <w:tcW w:type="dxa" w:w="964"/>
          </w:tcPr>
          <w:p>
            <w:r>
              <w:rPr>
                <w:sz w:val="17"/>
              </w:rPr>
              <w:t>&lt;3 months</w:t>
            </w:r>
          </w:p>
        </w:tc>
        <w:tc>
          <w:tcPr>
            <w:tcW w:type="dxa" w:w="907"/>
          </w:tcPr>
          <w:p>
            <w:pPr>
              <w:jc w:val="right"/>
            </w:pPr>
            <w:r>
              <w:rPr>
                <w:sz w:val="17"/>
              </w:rPr>
              <w:t>3.20</w:t>
            </w:r>
          </w:p>
        </w:tc>
        <w:tc>
          <w:tcPr>
            <w:tcW w:type="dxa" w:w="680"/>
          </w:tcPr>
          <w:p>
            <w:pPr>
              <w:jc w:val="right"/>
            </w:pPr>
            <w:r>
              <w:rPr>
                <w:sz w:val="17"/>
              </w:rPr>
              <w:t>95%</w:t>
            </w:r>
          </w:p>
        </w:tc>
        <w:tc>
          <w:tcPr>
            <w:tcW w:type="dxa" w:w="680"/>
          </w:tcPr>
          <w:p>
            <w:pPr>
              <w:jc w:val="right"/>
            </w:pPr>
            <w:r>
              <w:rPr>
                <w:sz w:val="17"/>
              </w:rPr>
              <w:t>80%</w:t>
            </w:r>
          </w:p>
        </w:tc>
        <w:tc>
          <w:tcPr>
            <w:tcW w:type="dxa" w:w="1361"/>
          </w:tcPr>
          <w:p>
            <w:r>
              <w:rPr>
                <w:sz w:val="17"/>
              </w:rPr>
              <w:t>-</w:t>
            </w:r>
          </w:p>
        </w:tc>
      </w:tr>
      <w:tr>
        <w:tc>
          <w:tcPr>
            <w:tcW w:type="dxa" w:w="1077"/>
          </w:tcPr>
          <w:p>
            <w:r>
              <w:rPr>
                <w:sz w:val="17"/>
              </w:rPr>
              <w:t>Customer B</w:t>
            </w:r>
          </w:p>
        </w:tc>
        <w:tc>
          <w:tcPr>
            <w:tcW w:type="dxa" w:w="1134"/>
          </w:tcPr>
          <w:p>
            <w:r>
              <w:rPr>
                <w:sz w:val="17"/>
              </w:rPr>
              <w:t>Trade receivable</w:t>
            </w:r>
          </w:p>
        </w:tc>
        <w:tc>
          <w:tcPr>
            <w:tcW w:type="dxa" w:w="850"/>
          </w:tcPr>
          <w:p>
            <w:r>
              <w:rPr>
                <w:sz w:val="17"/>
              </w:rPr>
              <w:t>No</w:t>
            </w:r>
          </w:p>
        </w:tc>
        <w:tc>
          <w:tcPr>
            <w:tcW w:type="dxa" w:w="850"/>
          </w:tcPr>
          <w:p>
            <w:r>
              <w:rPr>
                <w:sz w:val="17"/>
              </w:rPr>
              <w:t>No</w:t>
            </w:r>
          </w:p>
        </w:tc>
        <w:tc>
          <w:tcPr>
            <w:tcW w:type="dxa" w:w="907"/>
          </w:tcPr>
          <w:p>
            <w:r>
              <w:rPr>
                <w:sz w:val="17"/>
              </w:rPr>
              <w:t>No</w:t>
            </w:r>
          </w:p>
        </w:tc>
        <w:tc>
          <w:tcPr>
            <w:tcW w:type="dxa" w:w="964"/>
          </w:tcPr>
          <w:p>
            <w:r>
              <w:rPr>
                <w:sz w:val="17"/>
              </w:rPr>
              <w:t>&lt;3 months</w:t>
            </w:r>
          </w:p>
        </w:tc>
        <w:tc>
          <w:tcPr>
            <w:tcW w:type="dxa" w:w="907"/>
          </w:tcPr>
          <w:p>
            <w:pPr>
              <w:jc w:val="right"/>
            </w:pPr>
            <w:r>
              <w:rPr>
                <w:sz w:val="17"/>
              </w:rPr>
              <w:t>2.10</w:t>
            </w:r>
          </w:p>
        </w:tc>
        <w:tc>
          <w:tcPr>
            <w:tcW w:type="dxa" w:w="680"/>
          </w:tcPr>
          <w:p>
            <w:pPr>
              <w:jc w:val="right"/>
            </w:pPr>
            <w:r>
              <w:rPr>
                <w:sz w:val="17"/>
              </w:rPr>
              <w:t>95%</w:t>
            </w:r>
          </w:p>
        </w:tc>
        <w:tc>
          <w:tcPr>
            <w:tcW w:type="dxa" w:w="680"/>
          </w:tcPr>
          <w:p>
            <w:pPr>
              <w:jc w:val="right"/>
            </w:pPr>
            <w:r>
              <w:rPr>
                <w:sz w:val="17"/>
              </w:rPr>
              <w:t>80%</w:t>
            </w:r>
          </w:p>
        </w:tc>
        <w:tc>
          <w:tcPr>
            <w:tcW w:type="dxa" w:w="1361"/>
          </w:tcPr>
          <w:p>
            <w:r>
              <w:rPr>
                <w:sz w:val="17"/>
              </w:rPr>
              <w:t>-</w:t>
            </w:r>
          </w:p>
        </w:tc>
      </w:tr>
      <w:tr>
        <w:tc>
          <w:tcPr>
            <w:tcW w:type="dxa" w:w="1077"/>
          </w:tcPr>
          <w:p>
            <w:r>
              <w:rPr>
                <w:sz w:val="17"/>
              </w:rPr>
              <w:t>Customer C</w:t>
            </w:r>
          </w:p>
        </w:tc>
        <w:tc>
          <w:tcPr>
            <w:tcW w:type="dxa" w:w="1134"/>
          </w:tcPr>
          <w:p>
            <w:r>
              <w:rPr>
                <w:sz w:val="17"/>
              </w:rPr>
              <w:t>Trade receivable</w:t>
            </w:r>
          </w:p>
        </w:tc>
        <w:tc>
          <w:tcPr>
            <w:tcW w:type="dxa" w:w="850"/>
          </w:tcPr>
          <w:p>
            <w:r>
              <w:rPr>
                <w:sz w:val="17"/>
              </w:rPr>
              <w:t>No</w:t>
            </w:r>
          </w:p>
        </w:tc>
        <w:tc>
          <w:tcPr>
            <w:tcW w:type="dxa" w:w="850"/>
          </w:tcPr>
          <w:p>
            <w:r>
              <w:rPr>
                <w:sz w:val="17"/>
              </w:rPr>
              <w:t>No</w:t>
            </w:r>
          </w:p>
        </w:tc>
        <w:tc>
          <w:tcPr>
            <w:tcW w:type="dxa" w:w="907"/>
          </w:tcPr>
          <w:p>
            <w:r>
              <w:rPr>
                <w:sz w:val="17"/>
              </w:rPr>
              <w:t>No</w:t>
            </w:r>
          </w:p>
        </w:tc>
        <w:tc>
          <w:tcPr>
            <w:tcW w:type="dxa" w:w="964"/>
          </w:tcPr>
          <w:p>
            <w:r>
              <w:rPr>
                <w:sz w:val="17"/>
              </w:rPr>
              <w:t>3-6 months</w:t>
            </w:r>
          </w:p>
        </w:tc>
        <w:tc>
          <w:tcPr>
            <w:tcW w:type="dxa" w:w="907"/>
          </w:tcPr>
          <w:p>
            <w:pPr>
              <w:jc w:val="right"/>
            </w:pPr>
            <w:r>
              <w:rPr>
                <w:sz w:val="17"/>
              </w:rPr>
              <w:t>1.60</w:t>
            </w:r>
          </w:p>
        </w:tc>
        <w:tc>
          <w:tcPr>
            <w:tcW w:type="dxa" w:w="680"/>
          </w:tcPr>
          <w:p>
            <w:pPr>
              <w:jc w:val="right"/>
            </w:pPr>
            <w:r>
              <w:rPr>
                <w:sz w:val="17"/>
              </w:rPr>
              <w:t>85%</w:t>
            </w:r>
          </w:p>
        </w:tc>
        <w:tc>
          <w:tcPr>
            <w:tcW w:type="dxa" w:w="680"/>
          </w:tcPr>
          <w:p>
            <w:pPr>
              <w:jc w:val="right"/>
            </w:pPr>
            <w:r>
              <w:rPr>
                <w:sz w:val="17"/>
              </w:rPr>
              <w:t>60%</w:t>
            </w:r>
          </w:p>
        </w:tc>
        <w:tc>
          <w:tcPr>
            <w:tcW w:type="dxa" w:w="1361"/>
          </w:tcPr>
          <w:p>
            <w:r>
              <w:rPr>
                <w:sz w:val="17"/>
              </w:rPr>
              <w:t>-</w:t>
            </w:r>
          </w:p>
        </w:tc>
      </w:tr>
      <w:tr>
        <w:tc>
          <w:tcPr>
            <w:tcW w:type="dxa" w:w="1077"/>
          </w:tcPr>
          <w:p>
            <w:r>
              <w:rPr>
                <w:sz w:val="17"/>
              </w:rPr>
              <w:t>Customer D</w:t>
            </w:r>
          </w:p>
        </w:tc>
        <w:tc>
          <w:tcPr>
            <w:tcW w:type="dxa" w:w="1134"/>
          </w:tcPr>
          <w:p>
            <w:r>
              <w:rPr>
                <w:sz w:val="17"/>
              </w:rPr>
              <w:t>Trade receivable</w:t>
            </w:r>
          </w:p>
        </w:tc>
        <w:tc>
          <w:tcPr>
            <w:tcW w:type="dxa" w:w="850"/>
          </w:tcPr>
          <w:p>
            <w:r>
              <w:rPr>
                <w:sz w:val="17"/>
              </w:rPr>
              <w:t>No</w:t>
            </w:r>
          </w:p>
        </w:tc>
        <w:tc>
          <w:tcPr>
            <w:tcW w:type="dxa" w:w="850"/>
          </w:tcPr>
          <w:p>
            <w:r>
              <w:rPr>
                <w:sz w:val="17"/>
              </w:rPr>
              <w:t>No</w:t>
            </w:r>
          </w:p>
        </w:tc>
        <w:tc>
          <w:tcPr>
            <w:tcW w:type="dxa" w:w="907"/>
          </w:tcPr>
          <w:p>
            <w:r>
              <w:rPr>
                <w:sz w:val="17"/>
              </w:rPr>
              <w:t>No</w:t>
            </w:r>
          </w:p>
        </w:tc>
        <w:tc>
          <w:tcPr>
            <w:tcW w:type="dxa" w:w="964"/>
          </w:tcPr>
          <w:p>
            <w:r>
              <w:rPr>
                <w:sz w:val="17"/>
              </w:rPr>
              <w:t>6-12 months</w:t>
            </w:r>
          </w:p>
        </w:tc>
        <w:tc>
          <w:tcPr>
            <w:tcW w:type="dxa" w:w="907"/>
          </w:tcPr>
          <w:p>
            <w:pPr>
              <w:jc w:val="right"/>
            </w:pPr>
            <w:r>
              <w:rPr>
                <w:sz w:val="17"/>
              </w:rPr>
              <w:t>1.20</w:t>
            </w:r>
          </w:p>
        </w:tc>
        <w:tc>
          <w:tcPr>
            <w:tcW w:type="dxa" w:w="680"/>
          </w:tcPr>
          <w:p>
            <w:pPr>
              <w:jc w:val="right"/>
            </w:pPr>
            <w:r>
              <w:rPr>
                <w:sz w:val="17"/>
              </w:rPr>
              <w:t>60%</w:t>
            </w:r>
          </w:p>
        </w:tc>
        <w:tc>
          <w:tcPr>
            <w:tcW w:type="dxa" w:w="680"/>
          </w:tcPr>
          <w:p>
            <w:pPr>
              <w:jc w:val="right"/>
            </w:pPr>
            <w:r>
              <w:rPr>
                <w:sz w:val="17"/>
              </w:rPr>
              <w:t>35%</w:t>
            </w:r>
          </w:p>
        </w:tc>
        <w:tc>
          <w:tcPr>
            <w:tcW w:type="dxa" w:w="1361"/>
          </w:tcPr>
          <w:p>
            <w:r>
              <w:rPr>
                <w:sz w:val="17"/>
              </w:rPr>
              <w:t>-</w:t>
            </w:r>
          </w:p>
        </w:tc>
      </w:tr>
      <w:tr>
        <w:tc>
          <w:tcPr>
            <w:tcW w:type="dxa" w:w="1077"/>
          </w:tcPr>
          <w:p>
            <w:r>
              <w:rPr>
                <w:sz w:val="17"/>
              </w:rPr>
              <w:t>Customer E</w:t>
            </w:r>
          </w:p>
        </w:tc>
        <w:tc>
          <w:tcPr>
            <w:tcW w:type="dxa" w:w="1134"/>
          </w:tcPr>
          <w:p>
            <w:r>
              <w:rPr>
                <w:sz w:val="17"/>
              </w:rPr>
              <w:t>Trade receivable</w:t>
            </w:r>
          </w:p>
        </w:tc>
        <w:tc>
          <w:tcPr>
            <w:tcW w:type="dxa" w:w="850"/>
          </w:tcPr>
          <w:p>
            <w:r>
              <w:rPr>
                <w:sz w:val="17"/>
              </w:rPr>
              <w:t>No</w:t>
            </w:r>
          </w:p>
        </w:tc>
        <w:tc>
          <w:tcPr>
            <w:tcW w:type="dxa" w:w="850"/>
          </w:tcPr>
          <w:p>
            <w:r>
              <w:rPr>
                <w:sz w:val="17"/>
              </w:rPr>
              <w:t>No</w:t>
            </w:r>
          </w:p>
        </w:tc>
        <w:tc>
          <w:tcPr>
            <w:tcW w:type="dxa" w:w="907"/>
          </w:tcPr>
          <w:p>
            <w:r>
              <w:rPr>
                <w:sz w:val="17"/>
              </w:rPr>
              <w:t>Yes</w:t>
            </w:r>
          </w:p>
        </w:tc>
        <w:tc>
          <w:tcPr>
            <w:tcW w:type="dxa" w:w="964"/>
          </w:tcPr>
          <w:p>
            <w:r>
              <w:rPr>
                <w:sz w:val="17"/>
              </w:rPr>
              <w:t>&gt;12 months</w:t>
            </w:r>
          </w:p>
        </w:tc>
        <w:tc>
          <w:tcPr>
            <w:tcW w:type="dxa" w:w="907"/>
          </w:tcPr>
          <w:p>
            <w:pPr>
              <w:jc w:val="right"/>
            </w:pPr>
            <w:r>
              <w:rPr>
                <w:sz w:val="17"/>
              </w:rPr>
              <w:t>0.90</w:t>
            </w:r>
          </w:p>
        </w:tc>
        <w:tc>
          <w:tcPr>
            <w:tcW w:type="dxa" w:w="680"/>
          </w:tcPr>
          <w:p>
            <w:pPr>
              <w:jc w:val="right"/>
            </w:pPr>
            <w:r>
              <w:rPr>
                <w:sz w:val="17"/>
              </w:rPr>
              <w:t>20%</w:t>
            </w:r>
          </w:p>
        </w:tc>
        <w:tc>
          <w:tcPr>
            <w:tcW w:type="dxa" w:w="680"/>
          </w:tcPr>
          <w:p>
            <w:pPr>
              <w:jc w:val="right"/>
            </w:pPr>
            <w:r>
              <w:rPr>
                <w:sz w:val="17"/>
              </w:rPr>
              <w:t>5%</w:t>
            </w:r>
          </w:p>
        </w:tc>
        <w:tc>
          <w:tcPr>
            <w:tcW w:type="dxa" w:w="1361"/>
          </w:tcPr>
          <w:p>
            <w:r>
              <w:rPr>
                <w:sz w:val="17"/>
              </w:rPr>
              <w:t>Disputed quality claim; legal notice sent</w:t>
            </w:r>
          </w:p>
        </w:tc>
      </w:tr>
      <w:tr>
        <w:tc>
          <w:tcPr>
            <w:tcW w:type="dxa" w:w="1077"/>
          </w:tcPr>
          <w:p>
            <w:r>
              <w:rPr>
                <w:sz w:val="17"/>
              </w:rPr>
              <w:t>Customer F</w:t>
            </w:r>
          </w:p>
        </w:tc>
        <w:tc>
          <w:tcPr>
            <w:tcW w:type="dxa" w:w="1134"/>
          </w:tcPr>
          <w:p>
            <w:r>
              <w:rPr>
                <w:sz w:val="17"/>
              </w:rPr>
              <w:t>Trade receivable</w:t>
            </w:r>
          </w:p>
        </w:tc>
        <w:tc>
          <w:tcPr>
            <w:tcW w:type="dxa" w:w="850"/>
          </w:tcPr>
          <w:p>
            <w:r>
              <w:rPr>
                <w:sz w:val="17"/>
              </w:rPr>
              <w:t>No</w:t>
            </w:r>
          </w:p>
        </w:tc>
        <w:tc>
          <w:tcPr>
            <w:tcW w:type="dxa" w:w="850"/>
          </w:tcPr>
          <w:p>
            <w:r>
              <w:rPr>
                <w:sz w:val="17"/>
              </w:rPr>
              <w:t>No</w:t>
            </w:r>
          </w:p>
        </w:tc>
        <w:tc>
          <w:tcPr>
            <w:tcW w:type="dxa" w:w="907"/>
          </w:tcPr>
          <w:p>
            <w:r>
              <w:rPr>
                <w:sz w:val="17"/>
              </w:rPr>
              <w:t>No</w:t>
            </w:r>
          </w:p>
        </w:tc>
        <w:tc>
          <w:tcPr>
            <w:tcW w:type="dxa" w:w="964"/>
          </w:tcPr>
          <w:p>
            <w:r>
              <w:rPr>
                <w:sz w:val="17"/>
              </w:rPr>
              <w:t>&gt;12 months</w:t>
            </w:r>
          </w:p>
        </w:tc>
        <w:tc>
          <w:tcPr>
            <w:tcW w:type="dxa" w:w="907"/>
          </w:tcPr>
          <w:p>
            <w:pPr>
              <w:jc w:val="right"/>
            </w:pPr>
            <w:r>
              <w:rPr>
                <w:sz w:val="17"/>
              </w:rPr>
              <w:t>0.60</w:t>
            </w:r>
          </w:p>
        </w:tc>
        <w:tc>
          <w:tcPr>
            <w:tcW w:type="dxa" w:w="680"/>
          </w:tcPr>
          <w:p>
            <w:pPr>
              <w:jc w:val="right"/>
            </w:pPr>
            <w:r>
              <w:rPr>
                <w:sz w:val="17"/>
              </w:rPr>
              <w:t>30%</w:t>
            </w:r>
          </w:p>
        </w:tc>
        <w:tc>
          <w:tcPr>
            <w:tcW w:type="dxa" w:w="680"/>
          </w:tcPr>
          <w:p>
            <w:pPr>
              <w:jc w:val="right"/>
            </w:pPr>
            <w:r>
              <w:rPr>
                <w:sz w:val="17"/>
              </w:rPr>
              <w:t>10%</w:t>
            </w:r>
          </w:p>
        </w:tc>
        <w:tc>
          <w:tcPr>
            <w:tcW w:type="dxa" w:w="1361"/>
          </w:tcPr>
          <w:p>
            <w:r>
              <w:rPr>
                <w:sz w:val="17"/>
              </w:rPr>
              <w:t>Slow payer</w:t>
            </w:r>
          </w:p>
        </w:tc>
      </w:tr>
    </w:tbl>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D9E2F3"/>
          </w:tcPr>
          <w:p>
            <w:r/>
            <w:r>
              <w:rPr>
                <w:b/>
              </w:rPr>
              <w:t>Age bucket</w:t>
            </w:r>
          </w:p>
        </w:tc>
        <w:tc>
          <w:tcPr>
            <w:tcW w:type="dxa" w:w="2353"/>
            <w:shd w:val="clear" w:color="auto" w:fill="D9E2F3"/>
          </w:tcPr>
          <w:p>
            <w:r/>
            <w:r>
              <w:rPr>
                <w:b/>
              </w:rPr>
              <w:t>Gross</w:t>
            </w:r>
          </w:p>
        </w:tc>
        <w:tc>
          <w:tcPr>
            <w:tcW w:type="dxa" w:w="2353"/>
            <w:shd w:val="clear" w:color="auto" w:fill="D9E2F3"/>
          </w:tcPr>
          <w:p>
            <w:r/>
            <w:r>
              <w:rPr>
                <w:b/>
              </w:rPr>
              <w:t>Fair value</w:t>
            </w:r>
          </w:p>
        </w:tc>
        <w:tc>
          <w:tcPr>
            <w:tcW w:type="dxa" w:w="2353"/>
            <w:shd w:val="clear" w:color="auto" w:fill="D9E2F3"/>
          </w:tcPr>
          <w:p>
            <w:r/>
            <w:r>
              <w:rPr>
                <w:b/>
              </w:rPr>
              <w:t>Liquidation value</w:t>
            </w:r>
          </w:p>
        </w:tc>
      </w:tr>
      <w:tr>
        <w:tc>
          <w:tcPr>
            <w:tcW w:type="dxa" w:w="2353"/>
          </w:tcPr>
          <w:p>
            <w:r>
              <w:t>&lt;3 months</w:t>
            </w:r>
          </w:p>
        </w:tc>
        <w:tc>
          <w:tcPr>
            <w:tcW w:type="dxa" w:w="2353"/>
          </w:tcPr>
          <w:p>
            <w:pPr>
              <w:jc w:val="right"/>
            </w:pPr>
            <w:r>
              <w:t>5.30</w:t>
            </w:r>
          </w:p>
        </w:tc>
        <w:tc>
          <w:tcPr>
            <w:tcW w:type="dxa" w:w="2353"/>
          </w:tcPr>
          <w:p>
            <w:pPr>
              <w:jc w:val="right"/>
            </w:pPr>
            <w:r>
              <w:t>5.04</w:t>
            </w:r>
          </w:p>
        </w:tc>
        <w:tc>
          <w:tcPr>
            <w:tcW w:type="dxa" w:w="2353"/>
          </w:tcPr>
          <w:p>
            <w:pPr>
              <w:jc w:val="right"/>
            </w:pPr>
            <w:r>
              <w:t>4.24</w:t>
            </w:r>
          </w:p>
        </w:tc>
      </w:tr>
      <w:tr>
        <w:tc>
          <w:tcPr>
            <w:tcW w:type="dxa" w:w="2353"/>
          </w:tcPr>
          <w:p>
            <w:r>
              <w:t>3-6 months</w:t>
            </w:r>
          </w:p>
        </w:tc>
        <w:tc>
          <w:tcPr>
            <w:tcW w:type="dxa" w:w="2353"/>
          </w:tcPr>
          <w:p>
            <w:pPr>
              <w:jc w:val="right"/>
            </w:pPr>
            <w:r>
              <w:t>1.60</w:t>
            </w:r>
          </w:p>
        </w:tc>
        <w:tc>
          <w:tcPr>
            <w:tcW w:type="dxa" w:w="2353"/>
          </w:tcPr>
          <w:p>
            <w:pPr>
              <w:jc w:val="right"/>
            </w:pPr>
            <w:r>
              <w:t>1.36</w:t>
            </w:r>
          </w:p>
        </w:tc>
        <w:tc>
          <w:tcPr>
            <w:tcW w:type="dxa" w:w="2353"/>
          </w:tcPr>
          <w:p>
            <w:pPr>
              <w:jc w:val="right"/>
            </w:pPr>
            <w:r>
              <w:t>0.96</w:t>
            </w:r>
          </w:p>
        </w:tc>
      </w:tr>
      <w:tr>
        <w:tc>
          <w:tcPr>
            <w:tcW w:type="dxa" w:w="2353"/>
          </w:tcPr>
          <w:p>
            <w:r>
              <w:t>6-12 months</w:t>
            </w:r>
          </w:p>
        </w:tc>
        <w:tc>
          <w:tcPr>
            <w:tcW w:type="dxa" w:w="2353"/>
          </w:tcPr>
          <w:p>
            <w:pPr>
              <w:jc w:val="right"/>
            </w:pPr>
            <w:r>
              <w:t>1.20</w:t>
            </w:r>
          </w:p>
        </w:tc>
        <w:tc>
          <w:tcPr>
            <w:tcW w:type="dxa" w:w="2353"/>
          </w:tcPr>
          <w:p>
            <w:pPr>
              <w:jc w:val="right"/>
            </w:pPr>
            <w:r>
              <w:t>0.72</w:t>
            </w:r>
          </w:p>
        </w:tc>
        <w:tc>
          <w:tcPr>
            <w:tcW w:type="dxa" w:w="2353"/>
          </w:tcPr>
          <w:p>
            <w:pPr>
              <w:jc w:val="right"/>
            </w:pPr>
            <w:r>
              <w:t>0.42</w:t>
            </w:r>
          </w:p>
        </w:tc>
      </w:tr>
      <w:tr>
        <w:tc>
          <w:tcPr>
            <w:tcW w:type="dxa" w:w="2353"/>
          </w:tcPr>
          <w:p>
            <w:r>
              <w:t>&gt;12 months</w:t>
            </w:r>
          </w:p>
        </w:tc>
        <w:tc>
          <w:tcPr>
            <w:tcW w:type="dxa" w:w="2353"/>
          </w:tcPr>
          <w:p>
            <w:pPr>
              <w:jc w:val="right"/>
            </w:pPr>
            <w:r>
              <w:t>1.50</w:t>
            </w:r>
          </w:p>
        </w:tc>
        <w:tc>
          <w:tcPr>
            <w:tcW w:type="dxa" w:w="2353"/>
          </w:tcPr>
          <w:p>
            <w:pPr>
              <w:jc w:val="right"/>
            </w:pPr>
            <w:r>
              <w:t>0.36</w:t>
            </w:r>
          </w:p>
        </w:tc>
        <w:tc>
          <w:tcPr>
            <w:tcW w:type="dxa" w:w="2353"/>
          </w:tcPr>
          <w:p>
            <w:pPr>
              <w:jc w:val="right"/>
            </w:pPr>
            <w:r>
              <w:t>0.11</w:t>
            </w:r>
          </w:p>
        </w:tc>
      </w:tr>
      <w:tr>
        <w:tc>
          <w:tcPr>
            <w:tcW w:type="dxa" w:w="2353"/>
          </w:tcPr>
          <w:p>
            <w:r>
              <w:rPr>
                <w:b/>
              </w:rPr>
              <w:t>Total</w:t>
            </w:r>
          </w:p>
        </w:tc>
        <w:tc>
          <w:tcPr>
            <w:tcW w:type="dxa" w:w="2353"/>
          </w:tcPr>
          <w:p>
            <w:pPr>
              <w:jc w:val="right"/>
            </w:pPr>
            <w:r>
              <w:rPr>
                <w:b/>
              </w:rPr>
              <w:t>9.60</w:t>
            </w:r>
          </w:p>
        </w:tc>
        <w:tc>
          <w:tcPr>
            <w:tcW w:type="dxa" w:w="2353"/>
          </w:tcPr>
          <w:p>
            <w:pPr>
              <w:jc w:val="right"/>
            </w:pPr>
            <w:r>
              <w:rPr>
                <w:b/>
              </w:rPr>
              <w:t>7.47</w:t>
            </w:r>
          </w:p>
        </w:tc>
        <w:tc>
          <w:tcPr>
            <w:tcW w:type="dxa" w:w="2353"/>
          </w:tcPr>
          <w:p>
            <w:pPr>
              <w:jc w:val="right"/>
            </w:pPr>
            <w:r>
              <w:rPr>
                <w:b/>
              </w:rPr>
              <w:t>5.73</w:t>
            </w:r>
          </w:p>
        </w:tc>
      </w:tr>
    </w:tbl>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411" w:val="right"/>
      </w:tabs>
    </w:pPr>
    <w:r>
      <w:rPr>
        <w:sz w:val="17"/>
      </w:rPr>
      <w:t>VRIN: SAMPLE-VRIN-0000</w:t>
      <w:tab/>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