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30B7E" w14:textId="77777777" w:rsidR="0056405B" w:rsidRPr="0056405B" w:rsidRDefault="0056405B" w:rsidP="0056405B">
      <w:pPr>
        <w:jc w:val="center"/>
        <w:rPr>
          <w:rFonts w:ascii="Times New Roman" w:hAnsi="Times New Roman" w:cs="Times New Roman"/>
          <w:b/>
          <w:bCs/>
        </w:rPr>
      </w:pPr>
      <w:r w:rsidRPr="0056405B">
        <w:rPr>
          <w:rFonts w:ascii="Times New Roman" w:hAnsi="Times New Roman" w:cs="Times New Roman"/>
          <w:b/>
          <w:bCs/>
        </w:rPr>
        <w:t>Bank-wise NPA Risk Analysis (RBI Data, 2004-2025)</w:t>
      </w:r>
    </w:p>
    <w:p w14:paraId="5D5C98AB" w14:textId="77777777" w:rsidR="0056405B" w:rsidRPr="0056405B" w:rsidRDefault="0056405B" w:rsidP="0056405B">
      <w:pPr>
        <w:jc w:val="both"/>
        <w:rPr>
          <w:rFonts w:ascii="Times New Roman" w:hAnsi="Times New Roman" w:cs="Times New Roman"/>
          <w:b/>
          <w:bCs/>
        </w:rPr>
      </w:pPr>
      <w:r w:rsidRPr="0056405B">
        <w:rPr>
          <w:rFonts w:ascii="Times New Roman" w:hAnsi="Times New Roman" w:cs="Times New Roman"/>
          <w:b/>
          <w:bCs/>
        </w:rPr>
        <w:t>Why I built this</w:t>
      </w:r>
    </w:p>
    <w:p w14:paraId="4459C54B" w14:textId="77777777" w:rsidR="0056405B" w:rsidRPr="0056405B" w:rsidRDefault="0056405B" w:rsidP="0056405B">
      <w:pPr>
        <w:jc w:val="both"/>
        <w:rPr>
          <w:rFonts w:ascii="Times New Roman" w:hAnsi="Times New Roman" w:cs="Times New Roman"/>
        </w:rPr>
      </w:pPr>
      <w:r w:rsidRPr="0056405B">
        <w:rPr>
          <w:rFonts w:ascii="Times New Roman" w:hAnsi="Times New Roman" w:cs="Times New Roman"/>
        </w:rPr>
        <w:t>Most portfolio projects use Kaggle data that's already cleaned and picked apart by hundreds of other people. I wanted something real, so I pulled this straight from RBI's own database, the actual "Bank-wise and Bank Group-wise Gross NPA, Gross Advances, and Gross NPA Ratio" table, 22 years of raw data covering every scheduled commercial bank in India.</w:t>
      </w:r>
    </w:p>
    <w:p w14:paraId="42F29AAC" w14:textId="77777777" w:rsidR="0056405B" w:rsidRPr="0056405B" w:rsidRDefault="0056405B" w:rsidP="0056405B">
      <w:pPr>
        <w:jc w:val="both"/>
        <w:rPr>
          <w:rFonts w:ascii="Times New Roman" w:hAnsi="Times New Roman" w:cs="Times New Roman"/>
        </w:rPr>
      </w:pPr>
      <w:r w:rsidRPr="0056405B">
        <w:rPr>
          <w:rFonts w:ascii="Times New Roman" w:hAnsi="Times New Roman" w:cs="Times New Roman"/>
        </w:rPr>
        <w:t xml:space="preserve">Raw government data isn't ready to use out of the box. Before I could </w:t>
      </w:r>
      <w:proofErr w:type="spellStart"/>
      <w:r w:rsidRPr="0056405B">
        <w:rPr>
          <w:rFonts w:ascii="Times New Roman" w:hAnsi="Times New Roman" w:cs="Times New Roman"/>
        </w:rPr>
        <w:t>analyze</w:t>
      </w:r>
      <w:proofErr w:type="spellEnd"/>
      <w:r w:rsidRPr="0056405B">
        <w:rPr>
          <w:rFonts w:ascii="Times New Roman" w:hAnsi="Times New Roman" w:cs="Times New Roman"/>
        </w:rPr>
        <w:t xml:space="preserve"> anything, I had to deal with:</w:t>
      </w:r>
    </w:p>
    <w:p w14:paraId="70249CD0" w14:textId="77777777" w:rsidR="0056405B" w:rsidRPr="0056405B" w:rsidRDefault="0056405B" w:rsidP="0056405B">
      <w:pPr>
        <w:numPr>
          <w:ilvl w:val="0"/>
          <w:numId w:val="1"/>
        </w:numPr>
        <w:jc w:val="both"/>
        <w:rPr>
          <w:rFonts w:ascii="Times New Roman" w:hAnsi="Times New Roman" w:cs="Times New Roman"/>
        </w:rPr>
      </w:pPr>
      <w:r w:rsidRPr="0056405B">
        <w:rPr>
          <w:rFonts w:ascii="Times New Roman" w:hAnsi="Times New Roman" w:cs="Times New Roman"/>
        </w:rPr>
        <w:t>Footnote text that got pulled in as if it were actual data rows</w:t>
      </w:r>
    </w:p>
    <w:p w14:paraId="47A0B9B8" w14:textId="77777777" w:rsidR="0056405B" w:rsidRPr="0056405B" w:rsidRDefault="0056405B" w:rsidP="0056405B">
      <w:pPr>
        <w:numPr>
          <w:ilvl w:val="0"/>
          <w:numId w:val="1"/>
        </w:numPr>
        <w:jc w:val="both"/>
        <w:rPr>
          <w:rFonts w:ascii="Times New Roman" w:hAnsi="Times New Roman" w:cs="Times New Roman"/>
        </w:rPr>
      </w:pPr>
      <w:r w:rsidRPr="0056405B">
        <w:rPr>
          <w:rFonts w:ascii="Times New Roman" w:hAnsi="Times New Roman" w:cs="Times New Roman"/>
        </w:rPr>
        <w:t>Individual banks and bank-group subtotals mixed in the same column, which would double count if I wasn't careful</w:t>
      </w:r>
    </w:p>
    <w:p w14:paraId="7C019FE2" w14:textId="77777777" w:rsidR="0056405B" w:rsidRPr="0056405B" w:rsidRDefault="0056405B" w:rsidP="0056405B">
      <w:pPr>
        <w:numPr>
          <w:ilvl w:val="0"/>
          <w:numId w:val="1"/>
        </w:numPr>
        <w:jc w:val="both"/>
        <w:rPr>
          <w:rFonts w:ascii="Times New Roman" w:hAnsi="Times New Roman" w:cs="Times New Roman"/>
        </w:rPr>
      </w:pPr>
      <w:r w:rsidRPr="0056405B">
        <w:rPr>
          <w:rFonts w:ascii="Times New Roman" w:hAnsi="Times New Roman" w:cs="Times New Roman"/>
        </w:rPr>
        <w:t>Six banks that vanished from the data entirely in 2020 because RBI forced mergers, Oriental Bank of Commerce and United Bank of India into PNB, Syndicate Bank into Canara Bank, Allahabad Bank into Indian Bank, Andhra Bank and Corporation Bank into Union Bank</w:t>
      </w:r>
    </w:p>
    <w:p w14:paraId="655F8B59" w14:textId="77777777" w:rsidR="0056405B" w:rsidRPr="0056405B" w:rsidRDefault="0056405B" w:rsidP="0056405B">
      <w:pPr>
        <w:numPr>
          <w:ilvl w:val="0"/>
          <w:numId w:val="1"/>
        </w:numPr>
        <w:jc w:val="both"/>
        <w:rPr>
          <w:rFonts w:ascii="Times New Roman" w:hAnsi="Times New Roman" w:cs="Times New Roman"/>
        </w:rPr>
      </w:pPr>
      <w:r w:rsidRPr="0056405B">
        <w:rPr>
          <w:rFonts w:ascii="Times New Roman" w:hAnsi="Times New Roman" w:cs="Times New Roman"/>
        </w:rPr>
        <w:t>Missing values marked as dashes instead of blanks</w:t>
      </w:r>
    </w:p>
    <w:p w14:paraId="1D71C50D" w14:textId="77777777" w:rsidR="0056405B" w:rsidRPr="0056405B" w:rsidRDefault="0056405B" w:rsidP="0056405B">
      <w:pPr>
        <w:numPr>
          <w:ilvl w:val="0"/>
          <w:numId w:val="1"/>
        </w:numPr>
        <w:jc w:val="both"/>
        <w:rPr>
          <w:rFonts w:ascii="Times New Roman" w:hAnsi="Times New Roman" w:cs="Times New Roman"/>
        </w:rPr>
      </w:pPr>
      <w:r w:rsidRPr="0056405B">
        <w:rPr>
          <w:rFonts w:ascii="Times New Roman" w:hAnsi="Times New Roman" w:cs="Times New Roman"/>
        </w:rPr>
        <w:t>No pre-built NPA ratio column for some rows, so I calculated it myself from Gross NPAs divided by Gross Advances</w:t>
      </w:r>
    </w:p>
    <w:p w14:paraId="1B4D0526" w14:textId="77777777" w:rsidR="0056405B" w:rsidRPr="0056405B" w:rsidRDefault="0056405B" w:rsidP="0056405B">
      <w:pPr>
        <w:jc w:val="both"/>
        <w:rPr>
          <w:rFonts w:ascii="Times New Roman" w:hAnsi="Times New Roman" w:cs="Times New Roman"/>
        </w:rPr>
      </w:pPr>
    </w:p>
    <w:p w14:paraId="388F5A7F" w14:textId="68B4C9B5" w:rsidR="0056405B" w:rsidRPr="0056405B" w:rsidRDefault="0056405B" w:rsidP="0056405B">
      <w:pPr>
        <w:jc w:val="both"/>
        <w:rPr>
          <w:rFonts w:ascii="Times New Roman" w:hAnsi="Times New Roman" w:cs="Times New Roman"/>
          <w:b/>
          <w:bCs/>
        </w:rPr>
      </w:pPr>
      <w:r w:rsidRPr="0056405B">
        <w:rPr>
          <w:rFonts w:ascii="Times New Roman" w:hAnsi="Times New Roman" w:cs="Times New Roman"/>
          <w:b/>
          <w:bCs/>
        </w:rPr>
        <w:t>What I found</w:t>
      </w:r>
      <w:r>
        <w:rPr>
          <w:rFonts w:ascii="Times New Roman" w:hAnsi="Times New Roman" w:cs="Times New Roman"/>
          <w:b/>
          <w:bCs/>
        </w:rPr>
        <w:t>?</w:t>
      </w:r>
    </w:p>
    <w:p w14:paraId="6E8F82AA" w14:textId="77777777" w:rsidR="0056405B" w:rsidRPr="0056405B" w:rsidRDefault="0056405B" w:rsidP="0056405B">
      <w:pPr>
        <w:jc w:val="both"/>
        <w:rPr>
          <w:rFonts w:ascii="Times New Roman" w:hAnsi="Times New Roman" w:cs="Times New Roman"/>
        </w:rPr>
      </w:pPr>
      <w:r w:rsidRPr="0056405B">
        <w:rPr>
          <w:rFonts w:ascii="Times New Roman" w:hAnsi="Times New Roman" w:cs="Times New Roman"/>
          <w:b/>
          <w:bCs/>
        </w:rPr>
        <w:t>1. Public Sector Banks had a real crisis, and it's mostly over.</w:t>
      </w:r>
      <w:r w:rsidRPr="0056405B">
        <w:rPr>
          <w:rFonts w:ascii="Times New Roman" w:hAnsi="Times New Roman" w:cs="Times New Roman"/>
        </w:rPr>
        <w:t xml:space="preserve"> NPA ratio for Public Sector Banks peaked around 14.7% in 2018, the peak of India's well-known bad loan crisis. By 2025 it had come down to roughly 2-3%, converging with Private and Foreign Banks. That's a genuine recovery story, not just a stable line.</w:t>
      </w:r>
    </w:p>
    <w:p w14:paraId="1294AD5F" w14:textId="77777777" w:rsidR="0056405B" w:rsidRPr="0056405B" w:rsidRDefault="0056405B" w:rsidP="0056405B">
      <w:pPr>
        <w:jc w:val="both"/>
        <w:rPr>
          <w:rFonts w:ascii="Times New Roman" w:hAnsi="Times New Roman" w:cs="Times New Roman"/>
        </w:rPr>
      </w:pPr>
      <w:r w:rsidRPr="0056405B">
        <w:rPr>
          <w:rFonts w:ascii="Times New Roman" w:hAnsi="Times New Roman" w:cs="Times New Roman"/>
          <w:b/>
          <w:bCs/>
        </w:rPr>
        <w:t>2. The system-wide numbers back this up completely.</w:t>
      </w:r>
      <w:r w:rsidRPr="0056405B">
        <w:rPr>
          <w:rFonts w:ascii="Times New Roman" w:hAnsi="Times New Roman" w:cs="Times New Roman"/>
        </w:rPr>
        <w:t xml:space="preserve"> Looking at all scheduled commercial banks together, the NPA ratio dropped every single year since COVID:</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4395"/>
        <w:gridCol w:w="4677"/>
      </w:tblGrid>
      <w:tr w:rsidR="0056405B" w:rsidRPr="0056405B" w14:paraId="0779C79B" w14:textId="77777777" w:rsidTr="0056405B">
        <w:trPr>
          <w:tblHeader/>
          <w:tblCellSpacing w:w="15" w:type="dxa"/>
        </w:trPr>
        <w:tc>
          <w:tcPr>
            <w:tcW w:w="4350" w:type="dxa"/>
            <w:vAlign w:val="center"/>
            <w:hideMark/>
          </w:tcPr>
          <w:p w14:paraId="6CCBC17E" w14:textId="77777777" w:rsidR="0056405B" w:rsidRPr="0056405B" w:rsidRDefault="0056405B" w:rsidP="0056405B">
            <w:pPr>
              <w:jc w:val="both"/>
              <w:rPr>
                <w:rFonts w:ascii="Times New Roman" w:hAnsi="Times New Roman" w:cs="Times New Roman"/>
                <w:b/>
                <w:bCs/>
              </w:rPr>
            </w:pPr>
            <w:r w:rsidRPr="0056405B">
              <w:rPr>
                <w:rFonts w:ascii="Times New Roman" w:hAnsi="Times New Roman" w:cs="Times New Roman"/>
                <w:b/>
                <w:bCs/>
              </w:rPr>
              <w:t>Year</w:t>
            </w:r>
          </w:p>
        </w:tc>
        <w:tc>
          <w:tcPr>
            <w:tcW w:w="4632" w:type="dxa"/>
            <w:vAlign w:val="center"/>
            <w:hideMark/>
          </w:tcPr>
          <w:p w14:paraId="5FCAF083" w14:textId="77777777" w:rsidR="0056405B" w:rsidRPr="0056405B" w:rsidRDefault="0056405B" w:rsidP="0056405B">
            <w:pPr>
              <w:jc w:val="both"/>
              <w:rPr>
                <w:rFonts w:ascii="Times New Roman" w:hAnsi="Times New Roman" w:cs="Times New Roman"/>
                <w:b/>
                <w:bCs/>
              </w:rPr>
            </w:pPr>
            <w:r w:rsidRPr="0056405B">
              <w:rPr>
                <w:rFonts w:ascii="Times New Roman" w:hAnsi="Times New Roman" w:cs="Times New Roman"/>
                <w:b/>
                <w:bCs/>
              </w:rPr>
              <w:t>NPA Ratio</w:t>
            </w:r>
          </w:p>
        </w:tc>
      </w:tr>
      <w:tr w:rsidR="0056405B" w:rsidRPr="0056405B" w14:paraId="553B50FD" w14:textId="77777777" w:rsidTr="0056405B">
        <w:trPr>
          <w:tblCellSpacing w:w="15" w:type="dxa"/>
        </w:trPr>
        <w:tc>
          <w:tcPr>
            <w:tcW w:w="4350" w:type="dxa"/>
            <w:vAlign w:val="center"/>
            <w:hideMark/>
          </w:tcPr>
          <w:p w14:paraId="65EB3C01" w14:textId="77777777" w:rsidR="0056405B" w:rsidRPr="0056405B" w:rsidRDefault="0056405B" w:rsidP="0056405B">
            <w:pPr>
              <w:jc w:val="both"/>
              <w:rPr>
                <w:rFonts w:ascii="Times New Roman" w:hAnsi="Times New Roman" w:cs="Times New Roman"/>
              </w:rPr>
            </w:pPr>
            <w:r w:rsidRPr="0056405B">
              <w:rPr>
                <w:rFonts w:ascii="Times New Roman" w:hAnsi="Times New Roman" w:cs="Times New Roman"/>
              </w:rPr>
              <w:t>2020</w:t>
            </w:r>
          </w:p>
        </w:tc>
        <w:tc>
          <w:tcPr>
            <w:tcW w:w="4632" w:type="dxa"/>
            <w:vAlign w:val="center"/>
            <w:hideMark/>
          </w:tcPr>
          <w:p w14:paraId="0C69E322" w14:textId="77777777" w:rsidR="0056405B" w:rsidRPr="0056405B" w:rsidRDefault="0056405B" w:rsidP="0056405B">
            <w:pPr>
              <w:jc w:val="both"/>
              <w:rPr>
                <w:rFonts w:ascii="Times New Roman" w:hAnsi="Times New Roman" w:cs="Times New Roman"/>
              </w:rPr>
            </w:pPr>
            <w:r w:rsidRPr="0056405B">
              <w:rPr>
                <w:rFonts w:ascii="Times New Roman" w:hAnsi="Times New Roman" w:cs="Times New Roman"/>
              </w:rPr>
              <w:t>8.21%</w:t>
            </w:r>
          </w:p>
        </w:tc>
      </w:tr>
      <w:tr w:rsidR="0056405B" w:rsidRPr="0056405B" w14:paraId="409E6010" w14:textId="77777777" w:rsidTr="0056405B">
        <w:trPr>
          <w:tblCellSpacing w:w="15" w:type="dxa"/>
        </w:trPr>
        <w:tc>
          <w:tcPr>
            <w:tcW w:w="4350" w:type="dxa"/>
            <w:vAlign w:val="center"/>
            <w:hideMark/>
          </w:tcPr>
          <w:p w14:paraId="5F9ED83E" w14:textId="77777777" w:rsidR="0056405B" w:rsidRPr="0056405B" w:rsidRDefault="0056405B" w:rsidP="0056405B">
            <w:pPr>
              <w:jc w:val="both"/>
              <w:rPr>
                <w:rFonts w:ascii="Times New Roman" w:hAnsi="Times New Roman" w:cs="Times New Roman"/>
              </w:rPr>
            </w:pPr>
            <w:r w:rsidRPr="0056405B">
              <w:rPr>
                <w:rFonts w:ascii="Times New Roman" w:hAnsi="Times New Roman" w:cs="Times New Roman"/>
              </w:rPr>
              <w:t>2021</w:t>
            </w:r>
          </w:p>
        </w:tc>
        <w:tc>
          <w:tcPr>
            <w:tcW w:w="4632" w:type="dxa"/>
            <w:vAlign w:val="center"/>
            <w:hideMark/>
          </w:tcPr>
          <w:p w14:paraId="6BDAB6A9" w14:textId="77777777" w:rsidR="0056405B" w:rsidRPr="0056405B" w:rsidRDefault="0056405B" w:rsidP="0056405B">
            <w:pPr>
              <w:jc w:val="both"/>
              <w:rPr>
                <w:rFonts w:ascii="Times New Roman" w:hAnsi="Times New Roman" w:cs="Times New Roman"/>
              </w:rPr>
            </w:pPr>
            <w:r w:rsidRPr="0056405B">
              <w:rPr>
                <w:rFonts w:ascii="Times New Roman" w:hAnsi="Times New Roman" w:cs="Times New Roman"/>
              </w:rPr>
              <w:t>7.33%</w:t>
            </w:r>
          </w:p>
        </w:tc>
      </w:tr>
      <w:tr w:rsidR="0056405B" w:rsidRPr="0056405B" w14:paraId="19A51609" w14:textId="77777777" w:rsidTr="0056405B">
        <w:trPr>
          <w:tblCellSpacing w:w="15" w:type="dxa"/>
        </w:trPr>
        <w:tc>
          <w:tcPr>
            <w:tcW w:w="4350" w:type="dxa"/>
            <w:vAlign w:val="center"/>
            <w:hideMark/>
          </w:tcPr>
          <w:p w14:paraId="16D82A98" w14:textId="77777777" w:rsidR="0056405B" w:rsidRPr="0056405B" w:rsidRDefault="0056405B" w:rsidP="0056405B">
            <w:pPr>
              <w:jc w:val="both"/>
              <w:rPr>
                <w:rFonts w:ascii="Times New Roman" w:hAnsi="Times New Roman" w:cs="Times New Roman"/>
              </w:rPr>
            </w:pPr>
            <w:r w:rsidRPr="0056405B">
              <w:rPr>
                <w:rFonts w:ascii="Times New Roman" w:hAnsi="Times New Roman" w:cs="Times New Roman"/>
              </w:rPr>
              <w:t>2022</w:t>
            </w:r>
          </w:p>
        </w:tc>
        <w:tc>
          <w:tcPr>
            <w:tcW w:w="4632" w:type="dxa"/>
            <w:vAlign w:val="center"/>
            <w:hideMark/>
          </w:tcPr>
          <w:p w14:paraId="7DE6C874" w14:textId="77777777" w:rsidR="0056405B" w:rsidRPr="0056405B" w:rsidRDefault="0056405B" w:rsidP="0056405B">
            <w:pPr>
              <w:jc w:val="both"/>
              <w:rPr>
                <w:rFonts w:ascii="Times New Roman" w:hAnsi="Times New Roman" w:cs="Times New Roman"/>
              </w:rPr>
            </w:pPr>
            <w:r w:rsidRPr="0056405B">
              <w:rPr>
                <w:rFonts w:ascii="Times New Roman" w:hAnsi="Times New Roman" w:cs="Times New Roman"/>
              </w:rPr>
              <w:t>5.82%</w:t>
            </w:r>
          </w:p>
        </w:tc>
      </w:tr>
      <w:tr w:rsidR="0056405B" w:rsidRPr="0056405B" w14:paraId="5DCA78FD" w14:textId="77777777" w:rsidTr="0056405B">
        <w:trPr>
          <w:tblCellSpacing w:w="15" w:type="dxa"/>
        </w:trPr>
        <w:tc>
          <w:tcPr>
            <w:tcW w:w="4350" w:type="dxa"/>
            <w:vAlign w:val="center"/>
            <w:hideMark/>
          </w:tcPr>
          <w:p w14:paraId="6D4B0F8A" w14:textId="77777777" w:rsidR="0056405B" w:rsidRPr="0056405B" w:rsidRDefault="0056405B" w:rsidP="0056405B">
            <w:pPr>
              <w:jc w:val="both"/>
              <w:rPr>
                <w:rFonts w:ascii="Times New Roman" w:hAnsi="Times New Roman" w:cs="Times New Roman"/>
              </w:rPr>
            </w:pPr>
            <w:r w:rsidRPr="0056405B">
              <w:rPr>
                <w:rFonts w:ascii="Times New Roman" w:hAnsi="Times New Roman" w:cs="Times New Roman"/>
              </w:rPr>
              <w:t>2023</w:t>
            </w:r>
          </w:p>
        </w:tc>
        <w:tc>
          <w:tcPr>
            <w:tcW w:w="4632" w:type="dxa"/>
            <w:vAlign w:val="center"/>
            <w:hideMark/>
          </w:tcPr>
          <w:p w14:paraId="73A00AC7" w14:textId="77777777" w:rsidR="0056405B" w:rsidRPr="0056405B" w:rsidRDefault="0056405B" w:rsidP="0056405B">
            <w:pPr>
              <w:jc w:val="both"/>
              <w:rPr>
                <w:rFonts w:ascii="Times New Roman" w:hAnsi="Times New Roman" w:cs="Times New Roman"/>
              </w:rPr>
            </w:pPr>
            <w:r w:rsidRPr="0056405B">
              <w:rPr>
                <w:rFonts w:ascii="Times New Roman" w:hAnsi="Times New Roman" w:cs="Times New Roman"/>
              </w:rPr>
              <w:t>3.87%</w:t>
            </w:r>
          </w:p>
        </w:tc>
      </w:tr>
      <w:tr w:rsidR="0056405B" w:rsidRPr="0056405B" w14:paraId="02FAF024" w14:textId="77777777" w:rsidTr="0056405B">
        <w:trPr>
          <w:tblCellSpacing w:w="15" w:type="dxa"/>
        </w:trPr>
        <w:tc>
          <w:tcPr>
            <w:tcW w:w="4350" w:type="dxa"/>
            <w:vAlign w:val="center"/>
            <w:hideMark/>
          </w:tcPr>
          <w:p w14:paraId="3B907620" w14:textId="77777777" w:rsidR="0056405B" w:rsidRPr="0056405B" w:rsidRDefault="0056405B" w:rsidP="0056405B">
            <w:pPr>
              <w:jc w:val="both"/>
              <w:rPr>
                <w:rFonts w:ascii="Times New Roman" w:hAnsi="Times New Roman" w:cs="Times New Roman"/>
              </w:rPr>
            </w:pPr>
            <w:r w:rsidRPr="0056405B">
              <w:rPr>
                <w:rFonts w:ascii="Times New Roman" w:hAnsi="Times New Roman" w:cs="Times New Roman"/>
              </w:rPr>
              <w:t>2024</w:t>
            </w:r>
          </w:p>
        </w:tc>
        <w:tc>
          <w:tcPr>
            <w:tcW w:w="4632" w:type="dxa"/>
            <w:vAlign w:val="center"/>
            <w:hideMark/>
          </w:tcPr>
          <w:p w14:paraId="301078E7" w14:textId="77777777" w:rsidR="0056405B" w:rsidRPr="0056405B" w:rsidRDefault="0056405B" w:rsidP="0056405B">
            <w:pPr>
              <w:jc w:val="both"/>
              <w:rPr>
                <w:rFonts w:ascii="Times New Roman" w:hAnsi="Times New Roman" w:cs="Times New Roman"/>
              </w:rPr>
            </w:pPr>
            <w:r w:rsidRPr="0056405B">
              <w:rPr>
                <w:rFonts w:ascii="Times New Roman" w:hAnsi="Times New Roman" w:cs="Times New Roman"/>
              </w:rPr>
              <w:t>2.75%</w:t>
            </w:r>
          </w:p>
        </w:tc>
      </w:tr>
      <w:tr w:rsidR="0056405B" w:rsidRPr="0056405B" w14:paraId="2E7DFBD3" w14:textId="77777777" w:rsidTr="0056405B">
        <w:trPr>
          <w:tblCellSpacing w:w="15" w:type="dxa"/>
        </w:trPr>
        <w:tc>
          <w:tcPr>
            <w:tcW w:w="4350" w:type="dxa"/>
            <w:vAlign w:val="center"/>
            <w:hideMark/>
          </w:tcPr>
          <w:p w14:paraId="6FDB4DB9" w14:textId="77777777" w:rsidR="0056405B" w:rsidRPr="0056405B" w:rsidRDefault="0056405B" w:rsidP="0056405B">
            <w:pPr>
              <w:jc w:val="both"/>
              <w:rPr>
                <w:rFonts w:ascii="Times New Roman" w:hAnsi="Times New Roman" w:cs="Times New Roman"/>
              </w:rPr>
            </w:pPr>
            <w:r w:rsidRPr="0056405B">
              <w:rPr>
                <w:rFonts w:ascii="Times New Roman" w:hAnsi="Times New Roman" w:cs="Times New Roman"/>
              </w:rPr>
              <w:lastRenderedPageBreak/>
              <w:t>2025</w:t>
            </w:r>
          </w:p>
        </w:tc>
        <w:tc>
          <w:tcPr>
            <w:tcW w:w="4632" w:type="dxa"/>
            <w:vAlign w:val="center"/>
            <w:hideMark/>
          </w:tcPr>
          <w:p w14:paraId="4B419856" w14:textId="77777777" w:rsidR="0056405B" w:rsidRPr="0056405B" w:rsidRDefault="0056405B" w:rsidP="0056405B">
            <w:pPr>
              <w:jc w:val="both"/>
              <w:rPr>
                <w:rFonts w:ascii="Times New Roman" w:hAnsi="Times New Roman" w:cs="Times New Roman"/>
              </w:rPr>
            </w:pPr>
            <w:r w:rsidRPr="0056405B">
              <w:rPr>
                <w:rFonts w:ascii="Times New Roman" w:hAnsi="Times New Roman" w:cs="Times New Roman"/>
              </w:rPr>
              <w:t>2.22%</w:t>
            </w:r>
          </w:p>
        </w:tc>
      </w:tr>
    </w:tbl>
    <w:p w14:paraId="38BFF78A" w14:textId="77777777" w:rsidR="0056405B" w:rsidRPr="0056405B" w:rsidRDefault="0056405B" w:rsidP="0056405B">
      <w:pPr>
        <w:jc w:val="both"/>
        <w:rPr>
          <w:rFonts w:ascii="Times New Roman" w:hAnsi="Times New Roman" w:cs="Times New Roman"/>
        </w:rPr>
      </w:pPr>
    </w:p>
    <w:p w14:paraId="3232ACAA" w14:textId="1664EC0A" w:rsidR="0056405B" w:rsidRPr="0056405B" w:rsidRDefault="0056405B" w:rsidP="0056405B">
      <w:pPr>
        <w:jc w:val="both"/>
        <w:rPr>
          <w:rFonts w:ascii="Times New Roman" w:hAnsi="Times New Roman" w:cs="Times New Roman"/>
        </w:rPr>
      </w:pPr>
      <w:r w:rsidRPr="0056405B">
        <w:rPr>
          <w:rFonts w:ascii="Times New Roman" w:hAnsi="Times New Roman" w:cs="Times New Roman"/>
        </w:rPr>
        <w:t>That's a 73% reduction in five years, no reversals, no plateaus. Whatever's driving this, provisioning discipline, write-offs, better underwriting, it's working consistently across the whole system.</w:t>
      </w:r>
    </w:p>
    <w:p w14:paraId="5D16B585" w14:textId="77777777" w:rsidR="0056405B" w:rsidRPr="0056405B" w:rsidRDefault="0056405B" w:rsidP="0056405B">
      <w:pPr>
        <w:jc w:val="both"/>
        <w:rPr>
          <w:rFonts w:ascii="Times New Roman" w:hAnsi="Times New Roman" w:cs="Times New Roman"/>
        </w:rPr>
      </w:pPr>
      <w:r w:rsidRPr="0056405B">
        <w:rPr>
          <w:rFonts w:ascii="Times New Roman" w:hAnsi="Times New Roman" w:cs="Times New Roman"/>
          <w:b/>
          <w:bCs/>
        </w:rPr>
        <w:t>3. The highest NPA ratios don't mean what they look like at first.</w:t>
      </w:r>
      <w:r w:rsidRPr="0056405B">
        <w:rPr>
          <w:rFonts w:ascii="Times New Roman" w:hAnsi="Times New Roman" w:cs="Times New Roman"/>
        </w:rPr>
        <w:t xml:space="preserve"> If you just sort banks by NPA ratio, Sberbank and Sonali Bank top the list at over 40%. That looks alarming until you check their Gross Advances, tens of crores, not lakhs of crores. These are foreign banks with almost no real India footprint left (Sberbank specifically, post-2022 sanctions). A high percentage on a tiny loan book isn't the same kind of risk as a high percentage on a massive one. I almost reported this list at face value before catching that.</w:t>
      </w:r>
    </w:p>
    <w:p w14:paraId="4B3E9F42" w14:textId="77777777" w:rsidR="0056405B" w:rsidRPr="0056405B" w:rsidRDefault="0056405B" w:rsidP="0056405B">
      <w:pPr>
        <w:jc w:val="both"/>
        <w:rPr>
          <w:rFonts w:ascii="Times New Roman" w:hAnsi="Times New Roman" w:cs="Times New Roman"/>
        </w:rPr>
      </w:pPr>
      <w:r w:rsidRPr="0056405B">
        <w:rPr>
          <w:rFonts w:ascii="Times New Roman" w:hAnsi="Times New Roman" w:cs="Times New Roman"/>
          <w:b/>
          <w:bCs/>
        </w:rPr>
        <w:t>4. The mergers didn't spike risk uniformly.</w:t>
      </w:r>
      <w:r w:rsidRPr="0056405B">
        <w:rPr>
          <w:rFonts w:ascii="Times New Roman" w:hAnsi="Times New Roman" w:cs="Times New Roman"/>
        </w:rPr>
        <w:t xml:space="preserve"> I checked NPA ratio right before and after the 2020 forced mergers for the four banks that absorbed others. Indian Bank showed the clearest jump after absorbing Allahabad Bank. Punjab National Bank and Union Bank stayed roughly flat despite absorbing two banks each, PNB was already carrying high NPAs before the merger, so the addition didn't move the number much. Not the uniform story I expected going in.</w:t>
      </w:r>
    </w:p>
    <w:p w14:paraId="3C708F0D" w14:textId="77777777" w:rsidR="0056405B" w:rsidRPr="0056405B" w:rsidRDefault="0056405B" w:rsidP="0056405B">
      <w:pPr>
        <w:jc w:val="both"/>
        <w:rPr>
          <w:rFonts w:ascii="Times New Roman" w:hAnsi="Times New Roman" w:cs="Times New Roman"/>
        </w:rPr>
      </w:pPr>
      <w:r w:rsidRPr="0056405B">
        <w:rPr>
          <w:rFonts w:ascii="Times New Roman" w:hAnsi="Times New Roman" w:cs="Times New Roman"/>
          <w:b/>
          <w:bCs/>
        </w:rPr>
        <w:t>5. Real regulatory attention should follow absolute exposure, not just ratio.</w:t>
      </w:r>
      <w:r w:rsidRPr="0056405B">
        <w:rPr>
          <w:rFonts w:ascii="Times New Roman" w:hAnsi="Times New Roman" w:cs="Times New Roman"/>
        </w:rPr>
        <w:t xml:space="preserve"> Ranking by ratio alone puts tiny foreign banks at the top, which is misleading. Ranking by actual Gross NPA amount, the real rupee value of bad loans, tells a different story: State Bank of India, Punjab National Bank, Union Bank of India, Canara Bank, and Bank of India carry the largest absolute NPA exposure today. SBI tops this list mostly because of its sheer size, not because its risk profile is worse than its peers.</w:t>
      </w:r>
    </w:p>
    <w:p w14:paraId="452CCB07" w14:textId="77777777" w:rsidR="0056405B" w:rsidRPr="0056405B" w:rsidRDefault="0056405B" w:rsidP="0056405B">
      <w:pPr>
        <w:jc w:val="both"/>
        <w:rPr>
          <w:rFonts w:ascii="Times New Roman" w:hAnsi="Times New Roman" w:cs="Times New Roman"/>
          <w:b/>
          <w:bCs/>
        </w:rPr>
      </w:pPr>
      <w:r w:rsidRPr="0056405B">
        <w:rPr>
          <w:rFonts w:ascii="Times New Roman" w:hAnsi="Times New Roman" w:cs="Times New Roman"/>
          <w:b/>
          <w:bCs/>
        </w:rPr>
        <w:t>Method notes, for anyone checking my work</w:t>
      </w:r>
    </w:p>
    <w:p w14:paraId="62759532" w14:textId="77777777" w:rsidR="0056405B" w:rsidRPr="0056405B" w:rsidRDefault="0056405B" w:rsidP="0056405B">
      <w:pPr>
        <w:numPr>
          <w:ilvl w:val="0"/>
          <w:numId w:val="2"/>
        </w:numPr>
        <w:jc w:val="both"/>
        <w:rPr>
          <w:rFonts w:ascii="Times New Roman" w:hAnsi="Times New Roman" w:cs="Times New Roman"/>
        </w:rPr>
      </w:pPr>
      <w:r w:rsidRPr="0056405B">
        <w:rPr>
          <w:rFonts w:ascii="Times New Roman" w:hAnsi="Times New Roman" w:cs="Times New Roman"/>
        </w:rPr>
        <w:t>Growth and ratio comparisons use simple point-to-point percentage change unless stated otherwise</w:t>
      </w:r>
    </w:p>
    <w:p w14:paraId="53E98E35" w14:textId="77777777" w:rsidR="0056405B" w:rsidRPr="0056405B" w:rsidRDefault="0056405B" w:rsidP="0056405B">
      <w:pPr>
        <w:numPr>
          <w:ilvl w:val="0"/>
          <w:numId w:val="2"/>
        </w:numPr>
        <w:jc w:val="both"/>
        <w:rPr>
          <w:rFonts w:ascii="Times New Roman" w:hAnsi="Times New Roman" w:cs="Times New Roman"/>
        </w:rPr>
      </w:pPr>
      <w:r w:rsidRPr="0056405B">
        <w:rPr>
          <w:rFonts w:ascii="Times New Roman" w:hAnsi="Times New Roman" w:cs="Times New Roman"/>
        </w:rPr>
        <w:t>COVID impact compares February 2020 (pre-pandemic baseline) against each sector's lowest point through the rest of 2020</w:t>
      </w:r>
    </w:p>
    <w:p w14:paraId="42016870" w14:textId="77777777" w:rsidR="0056405B" w:rsidRPr="0056405B" w:rsidRDefault="0056405B" w:rsidP="0056405B">
      <w:pPr>
        <w:numPr>
          <w:ilvl w:val="0"/>
          <w:numId w:val="2"/>
        </w:numPr>
        <w:jc w:val="both"/>
        <w:rPr>
          <w:rFonts w:ascii="Times New Roman" w:hAnsi="Times New Roman" w:cs="Times New Roman"/>
        </w:rPr>
      </w:pPr>
      <w:r w:rsidRPr="0056405B">
        <w:rPr>
          <w:rFonts w:ascii="Times New Roman" w:hAnsi="Times New Roman" w:cs="Times New Roman"/>
        </w:rPr>
        <w:t>Merger comparisons use 2019 (pre-merger) vs 2021 (post-merger) figures for the four absorbing banks</w:t>
      </w:r>
    </w:p>
    <w:p w14:paraId="4B105AB7" w14:textId="77777777" w:rsidR="0056405B" w:rsidRPr="0056405B" w:rsidRDefault="0056405B" w:rsidP="0056405B">
      <w:pPr>
        <w:numPr>
          <w:ilvl w:val="0"/>
          <w:numId w:val="2"/>
        </w:numPr>
        <w:jc w:val="both"/>
        <w:rPr>
          <w:rFonts w:ascii="Times New Roman" w:hAnsi="Times New Roman" w:cs="Times New Roman"/>
        </w:rPr>
      </w:pPr>
      <w:r w:rsidRPr="0056405B">
        <w:rPr>
          <w:rFonts w:ascii="Times New Roman" w:hAnsi="Times New Roman" w:cs="Times New Roman"/>
        </w:rPr>
        <w:t>The "top 5 for regulatory attention" ranking uses a 2023-2025 average, not a single year, to avoid one-off distortions</w:t>
      </w:r>
    </w:p>
    <w:p w14:paraId="615FD155" w14:textId="6C672BA9" w:rsidR="0056405B" w:rsidRPr="0056405B" w:rsidRDefault="0056405B" w:rsidP="0056405B">
      <w:pPr>
        <w:numPr>
          <w:ilvl w:val="0"/>
          <w:numId w:val="2"/>
        </w:numPr>
        <w:jc w:val="both"/>
        <w:rPr>
          <w:rFonts w:ascii="Times New Roman" w:hAnsi="Times New Roman" w:cs="Times New Roman"/>
        </w:rPr>
      </w:pPr>
      <w:r w:rsidRPr="0056405B">
        <w:rPr>
          <w:rFonts w:ascii="Times New Roman" w:hAnsi="Times New Roman" w:cs="Times New Roman"/>
        </w:rPr>
        <w:t>Bank coverage in RBI's underlying data expanded over the period (roughly 90% of total credit before 2019, up to 95% from 2021 onward), so some of the earliest years aren't perfectly comparable to recent ones on a like-for-like basis</w:t>
      </w:r>
      <w:r>
        <w:rPr>
          <w:rFonts w:ascii="Times New Roman" w:hAnsi="Times New Roman" w:cs="Times New Roman"/>
        </w:rPr>
        <w:t>.</w:t>
      </w:r>
    </w:p>
    <w:p w14:paraId="65C5AE29" w14:textId="77777777" w:rsidR="008D535E" w:rsidRPr="0056405B" w:rsidRDefault="008D535E" w:rsidP="0056405B">
      <w:pPr>
        <w:jc w:val="both"/>
        <w:rPr>
          <w:rFonts w:ascii="Times New Roman" w:hAnsi="Times New Roman" w:cs="Times New Roman"/>
          <w:sz w:val="20"/>
          <w:szCs w:val="20"/>
        </w:rPr>
      </w:pPr>
    </w:p>
    <w:sectPr w:rsidR="008D535E" w:rsidRPr="005640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7435A"/>
    <w:multiLevelType w:val="multilevel"/>
    <w:tmpl w:val="301E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9E7D75"/>
    <w:multiLevelType w:val="multilevel"/>
    <w:tmpl w:val="ABB6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4435628">
    <w:abstractNumId w:val="1"/>
  </w:num>
  <w:num w:numId="2" w16cid:durableId="443307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05B"/>
    <w:rsid w:val="000A5C59"/>
    <w:rsid w:val="0056405B"/>
    <w:rsid w:val="00800A26"/>
    <w:rsid w:val="008D535E"/>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68FFE"/>
  <w15:chartTrackingRefBased/>
  <w15:docId w15:val="{261E8FD6-4186-446C-8D51-710CB268B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405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6405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6405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640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40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40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0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0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0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05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56405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56405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640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40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40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0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0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05B"/>
    <w:rPr>
      <w:rFonts w:eastAsiaTheme="majorEastAsia" w:cstheme="majorBidi"/>
      <w:color w:val="272727" w:themeColor="text1" w:themeTint="D8"/>
    </w:rPr>
  </w:style>
  <w:style w:type="paragraph" w:styleId="Title">
    <w:name w:val="Title"/>
    <w:basedOn w:val="Normal"/>
    <w:next w:val="Normal"/>
    <w:link w:val="TitleChar"/>
    <w:uiPriority w:val="10"/>
    <w:qFormat/>
    <w:rsid w:val="0056405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6405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6405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6405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6405B"/>
    <w:pPr>
      <w:spacing w:before="160"/>
      <w:jc w:val="center"/>
    </w:pPr>
    <w:rPr>
      <w:i/>
      <w:iCs/>
      <w:color w:val="404040" w:themeColor="text1" w:themeTint="BF"/>
    </w:rPr>
  </w:style>
  <w:style w:type="character" w:customStyle="1" w:styleId="QuoteChar">
    <w:name w:val="Quote Char"/>
    <w:basedOn w:val="DefaultParagraphFont"/>
    <w:link w:val="Quote"/>
    <w:uiPriority w:val="29"/>
    <w:rsid w:val="0056405B"/>
    <w:rPr>
      <w:i/>
      <w:iCs/>
      <w:color w:val="404040" w:themeColor="text1" w:themeTint="BF"/>
    </w:rPr>
  </w:style>
  <w:style w:type="paragraph" w:styleId="ListParagraph">
    <w:name w:val="List Paragraph"/>
    <w:basedOn w:val="Normal"/>
    <w:uiPriority w:val="34"/>
    <w:qFormat/>
    <w:rsid w:val="0056405B"/>
    <w:pPr>
      <w:ind w:left="720"/>
      <w:contextualSpacing/>
    </w:pPr>
  </w:style>
  <w:style w:type="character" w:styleId="IntenseEmphasis">
    <w:name w:val="Intense Emphasis"/>
    <w:basedOn w:val="DefaultParagraphFont"/>
    <w:uiPriority w:val="21"/>
    <w:qFormat/>
    <w:rsid w:val="0056405B"/>
    <w:rPr>
      <w:i/>
      <w:iCs/>
      <w:color w:val="0F4761" w:themeColor="accent1" w:themeShade="BF"/>
    </w:rPr>
  </w:style>
  <w:style w:type="paragraph" w:styleId="IntenseQuote">
    <w:name w:val="Intense Quote"/>
    <w:basedOn w:val="Normal"/>
    <w:next w:val="Normal"/>
    <w:link w:val="IntenseQuoteChar"/>
    <w:uiPriority w:val="30"/>
    <w:qFormat/>
    <w:rsid w:val="005640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405B"/>
    <w:rPr>
      <w:i/>
      <w:iCs/>
      <w:color w:val="0F4761" w:themeColor="accent1" w:themeShade="BF"/>
    </w:rPr>
  </w:style>
  <w:style w:type="character" w:styleId="IntenseReference">
    <w:name w:val="Intense Reference"/>
    <w:basedOn w:val="DefaultParagraphFont"/>
    <w:uiPriority w:val="32"/>
    <w:qFormat/>
    <w:rsid w:val="005640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612</Words>
  <Characters>3492</Characters>
  <Application>Microsoft Office Word</Application>
  <DocSecurity>0</DocSecurity>
  <Lines>29</Lines>
  <Paragraphs>8</Paragraphs>
  <ScaleCrop>false</ScaleCrop>
  <Company/>
  <LinksUpToDate>false</LinksUpToDate>
  <CharactersWithSpaces>4096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Dakshesh Dhare</dc:creator>
  <cp:keywords/>
  <dc:description/>
  <cp:lastModifiedBy>Dakshesh Dhare</cp:lastModifiedBy>
  <cp:revision>1</cp:revision>
  <dcterms:created xsi:type="dcterms:W3CDTF">2026-08-02T08:29:00Z</dcterms:created>
  <dcterms:modified xsi:type="dcterms:W3CDTF">2026-08-02T08:33:00Z</dcterms:modified>
</cp:coreProperties>
</file>