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DD7F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Data source:</w:t>
      </w:r>
      <w:r w:rsidRPr="00E05AEF">
        <w:rPr>
          <w:rFonts w:ascii="Times New Roman" w:hAnsi="Times New Roman" w:cs="Times New Roman"/>
          <w:szCs w:val="24"/>
        </w:rPr>
        <w:t xml:space="preserve"> RBI's DBIE portal, "Statistical Tables Relating to Banks in India," specifically the "Sector-wise Gross Bank Credit of Scheduled Commercial Banks" table, monthly data from January 2019 to May 2026, raw government data, not a pre-cleaned Kaggle dataset.</w:t>
      </w:r>
    </w:p>
    <w:p w14:paraId="27953F5C" w14:textId="2A67F6EE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Cleaning steps performed, in order:</w:t>
      </w:r>
    </w:p>
    <w:p w14:paraId="23AC6751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Removed duplicate header rows left over from the export</w:t>
      </w:r>
    </w:p>
    <w:p w14:paraId="28045F6D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Removed blank spacer rows RBI included for visual formatting in the original table</w:t>
      </w:r>
    </w:p>
    <w:p w14:paraId="4ACD99A3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Unmerged cells and filled labels back down so every row had a proper category name</w:t>
      </w:r>
    </w:p>
    <w:p w14:paraId="4C8BCF2A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Standardized irregular fortnightly reporting dates into a consistent one-column-per-month structure</w:t>
      </w:r>
    </w:p>
    <w:p w14:paraId="2A976D01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 xml:space="preserve">Identified and disclosed a data limitation: 6 specific reporting periods where RBI's own footnote says the </w:t>
      </w:r>
      <w:proofErr w:type="spellStart"/>
      <w:r w:rsidRPr="00E05AEF">
        <w:rPr>
          <w:rFonts w:ascii="Times New Roman" w:hAnsi="Times New Roman" w:cs="Times New Roman"/>
          <w:szCs w:val="24"/>
        </w:rPr>
        <w:t>labeled</w:t>
      </w:r>
      <w:proofErr w:type="spellEnd"/>
      <w:r w:rsidRPr="00E05AEF">
        <w:rPr>
          <w:rFonts w:ascii="Times New Roman" w:hAnsi="Times New Roman" w:cs="Times New Roman"/>
          <w:szCs w:val="24"/>
        </w:rPr>
        <w:t xml:space="preserve"> date doesn't match the actual collection date; you chose to keep the original labels and disclose this rather than relabel, a documented judgment call</w:t>
      </w:r>
    </w:p>
    <w:p w14:paraId="0E3D84AD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Identified a structural break in the data: the HDFC-HDFC Bank merger (July 2023) caused an artificial one-time jump in credit figures across several sectors; RBI publishes merger-adjusted figures in parentheses, which you separated out and used for accurate comparison</w:t>
      </w:r>
    </w:p>
    <w:p w14:paraId="691794FF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Handled missing values (shown as "-" in source) as nulls, not zero, to avoid understating figures</w:t>
      </w:r>
    </w:p>
    <w:p w14:paraId="48BBE4A9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Converted the cleaned wide-format table into long format (Sector, Month, Value) for analysis</w:t>
      </w:r>
    </w:p>
    <w:p w14:paraId="6B40020E" w14:textId="6EFEF842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 xml:space="preserve">Maintained the category hierarchy carefully so totals aren't double counted (e.g., Industry's sub-categories Micro/Medium/Large were kept separate from the </w:t>
      </w:r>
      <w:proofErr w:type="gramStart"/>
      <w:r w:rsidRPr="00E05AEF">
        <w:rPr>
          <w:rFonts w:ascii="Times New Roman" w:hAnsi="Times New Roman" w:cs="Times New Roman"/>
          <w:szCs w:val="24"/>
        </w:rPr>
        <w:t>Industry</w:t>
      </w:r>
      <w:proofErr w:type="gramEnd"/>
      <w:r w:rsidRPr="00E05AEF">
        <w:rPr>
          <w:rFonts w:ascii="Times New Roman" w:hAnsi="Times New Roman" w:cs="Times New Roman"/>
          <w:szCs w:val="24"/>
        </w:rPr>
        <w:t xml:space="preserve"> total, never summed together).</w:t>
      </w:r>
    </w:p>
    <w:p w14:paraId="42D30A7A" w14:textId="77777777" w:rsidR="00E05AEF" w:rsidRPr="00E05AEF" w:rsidRDefault="00E05AEF" w:rsidP="00E05AE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</w:p>
    <w:p w14:paraId="119BCB0D" w14:textId="2477209F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Why I choose this dataset:</w:t>
      </w:r>
      <w:r w:rsidRPr="00E05AEF">
        <w:rPr>
          <w:rFonts w:ascii="Times New Roman" w:hAnsi="Times New Roman" w:cs="Times New Roman"/>
          <w:szCs w:val="24"/>
        </w:rPr>
        <w:t xml:space="preserve"> Raw government data required real judgment calls, cleaning irregular dates, catching a structural break, deciding how to handle known </w:t>
      </w:r>
      <w:proofErr w:type="spellStart"/>
      <w:r w:rsidRPr="00E05AEF">
        <w:rPr>
          <w:rFonts w:ascii="Times New Roman" w:hAnsi="Times New Roman" w:cs="Times New Roman"/>
          <w:szCs w:val="24"/>
        </w:rPr>
        <w:t>labeling</w:t>
      </w:r>
      <w:proofErr w:type="spellEnd"/>
      <w:r w:rsidRPr="00E05AEF">
        <w:rPr>
          <w:rFonts w:ascii="Times New Roman" w:hAnsi="Times New Roman" w:cs="Times New Roman"/>
          <w:szCs w:val="24"/>
        </w:rPr>
        <w:t xml:space="preserve"> inconsistencies.</w:t>
      </w:r>
    </w:p>
    <w:p w14:paraId="7C3A1FC0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5AA67D23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What was the overall credit growth trend?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682273DF" w14:textId="092B3BEC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A: Total Bank Credit grew 130.5% from January 2019 to May 2026, with Non-food Credit growing almost identically (130.8%) while Food Credit lagged significantly (93.1%).</w:t>
      </w:r>
    </w:p>
    <w:p w14:paraId="41D636BB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Which sector grew fastest?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0CC41FA3" w14:textId="5CE1145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 xml:space="preserve">A: At the broad sector level, Personal Loans led at 215.3% growth, well ahead of Services (175.0%), Agriculture (143.8%), and Industry, which trailed at just 70.3%. But the more </w:t>
      </w:r>
      <w:r w:rsidRPr="00E05AEF">
        <w:rPr>
          <w:rFonts w:ascii="Times New Roman" w:hAnsi="Times New Roman" w:cs="Times New Roman"/>
          <w:szCs w:val="24"/>
        </w:rPr>
        <w:lastRenderedPageBreak/>
        <w:t>interesting finding is at the sub-sector level: Loans against Gold Jewellery grew 2,003.8%, by far the fastest-growing category in the entire dataset.</w:t>
      </w:r>
    </w:p>
    <w:p w14:paraId="2A431114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2975000C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Any sector that underperformed?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5AFE59B9" w14:textId="69F2FA30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A: Industry stagnated relative to peers at the main-sector level. More specifically, Export Credit under the Priority Sector category actually declined by 33.1%, the only category in the whole dataset that shrank rather than grew.</w:t>
      </w:r>
    </w:p>
    <w:p w14:paraId="048CA1E4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75AAE1E0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How did credit react to COVID?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6AC5002C" w14:textId="222B6413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A: Surprisingly resilient. Overall Bank Credit barely dipped, only 1.1% at its lowest point relative to February 2020. Food Credit was the exception, dropping 21.1%. This is a genuinely counterintuitive finding worth highlighting, credit outstanding didn't collapse the way broader economic activity did.</w:t>
      </w:r>
    </w:p>
    <w:p w14:paraId="4B859BFF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26DA2C0D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What's the deal with the merger adjustment?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22A47C64" w14:textId="0917738D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A: The HDFC-HDFC Bank merger in July 2023 caused reported Bank Credit to jump by an artificial 4.3%, not organic growth. The effect was concentrated most heavily in Personal Loans (10.8% bump) since HDFC's book was mortgage-heavy, while Industry was barely affected (0.5%).</w:t>
      </w:r>
    </w:p>
    <w:p w14:paraId="39F82DB2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4C12B443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Q: What's the most important finding?</w:t>
      </w:r>
      <w:r w:rsidRPr="00E05AEF">
        <w:rPr>
          <w:rFonts w:ascii="Times New Roman" w:hAnsi="Times New Roman" w:cs="Times New Roman"/>
          <w:szCs w:val="24"/>
        </w:rPr>
        <w:t xml:space="preserve"> </w:t>
      </w:r>
    </w:p>
    <w:p w14:paraId="1B44CB18" w14:textId="2D4E8434" w:rsidR="00E05AEF" w:rsidRDefault="00E05AEF" w:rsidP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szCs w:val="24"/>
        </w:rPr>
        <w:t>A: The sectors driving growth have flipped recently. Over the full 7-year period, Personal Loans was the clear growth leader. But looking at just the last 18 months, Industry credit is now growing at 13.4% annually, more than triple its 2019-2022 pace of 3.9%, while Personal Loans growth has essentially plateaued (14.7% recent vs 14.8% earlier).</w:t>
      </w:r>
    </w:p>
    <w:p w14:paraId="2A331370" w14:textId="77777777" w:rsidR="00E05AEF" w:rsidRPr="00E05AEF" w:rsidRDefault="00E05AEF" w:rsidP="00E05AEF">
      <w:pPr>
        <w:rPr>
          <w:rFonts w:ascii="Times New Roman" w:hAnsi="Times New Roman" w:cs="Times New Roman"/>
          <w:szCs w:val="24"/>
        </w:rPr>
      </w:pPr>
    </w:p>
    <w:p w14:paraId="056F2703" w14:textId="1099953D" w:rsidR="008D535E" w:rsidRPr="00E05AEF" w:rsidRDefault="00E05AEF">
      <w:pPr>
        <w:rPr>
          <w:rFonts w:ascii="Times New Roman" w:hAnsi="Times New Roman" w:cs="Times New Roman"/>
          <w:szCs w:val="24"/>
        </w:rPr>
      </w:pPr>
      <w:r w:rsidRPr="00E05AEF">
        <w:rPr>
          <w:rFonts w:ascii="Times New Roman" w:hAnsi="Times New Roman" w:cs="Times New Roman"/>
          <w:b/>
          <w:bCs/>
          <w:szCs w:val="24"/>
        </w:rPr>
        <w:t>Limitations in the dataset:</w:t>
      </w:r>
      <w:r w:rsidRPr="00E05AEF">
        <w:rPr>
          <w:rFonts w:ascii="Times New Roman" w:hAnsi="Times New Roman" w:cs="Times New Roman"/>
          <w:szCs w:val="24"/>
        </w:rPr>
        <w:t xml:space="preserve"> The data has two known caveats I documented: reporting coverage expanded from about 90% to 95% of total credit over this period, so part of the growth reflects wider bank coverage, not pure organic growth. And six specific months have a minor date-</w:t>
      </w:r>
      <w:proofErr w:type="spellStart"/>
      <w:r w:rsidRPr="00E05AEF">
        <w:rPr>
          <w:rFonts w:ascii="Times New Roman" w:hAnsi="Times New Roman" w:cs="Times New Roman"/>
          <w:szCs w:val="24"/>
        </w:rPr>
        <w:t>labeling</w:t>
      </w:r>
      <w:proofErr w:type="spellEnd"/>
      <w:r w:rsidRPr="00E05AEF">
        <w:rPr>
          <w:rFonts w:ascii="Times New Roman" w:hAnsi="Times New Roman" w:cs="Times New Roman"/>
          <w:szCs w:val="24"/>
        </w:rPr>
        <w:t xml:space="preserve"> inconsistency in the source data that I chose to disclose rather than correct it.</w:t>
      </w:r>
    </w:p>
    <w:sectPr w:rsidR="008D535E" w:rsidRPr="00E05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B1A3" w14:textId="77777777" w:rsidR="00950478" w:rsidRDefault="00950478" w:rsidP="00AF2BA3">
      <w:pPr>
        <w:spacing w:after="0" w:line="240" w:lineRule="auto"/>
      </w:pPr>
      <w:r>
        <w:separator/>
      </w:r>
    </w:p>
  </w:endnote>
  <w:endnote w:type="continuationSeparator" w:id="0">
    <w:p w14:paraId="7F4CCBB9" w14:textId="77777777" w:rsidR="00950478" w:rsidRDefault="00950478" w:rsidP="00AF2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91CB" w14:textId="77777777" w:rsidR="00950478" w:rsidRDefault="00950478" w:rsidP="00AF2BA3">
      <w:pPr>
        <w:spacing w:after="0" w:line="240" w:lineRule="auto"/>
      </w:pPr>
      <w:r>
        <w:separator/>
      </w:r>
    </w:p>
  </w:footnote>
  <w:footnote w:type="continuationSeparator" w:id="0">
    <w:p w14:paraId="391F034D" w14:textId="77777777" w:rsidR="00950478" w:rsidRDefault="00950478" w:rsidP="00AF2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501B"/>
    <w:multiLevelType w:val="multilevel"/>
    <w:tmpl w:val="E3B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11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EF"/>
    <w:rsid w:val="00800A26"/>
    <w:rsid w:val="008D535E"/>
    <w:rsid w:val="00950478"/>
    <w:rsid w:val="009B205F"/>
    <w:rsid w:val="00AF2BA3"/>
    <w:rsid w:val="00E05AEF"/>
    <w:rsid w:val="00EB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A6C64"/>
  <w15:chartTrackingRefBased/>
  <w15:docId w15:val="{F13B012C-6F12-464E-86A1-4F0FA4A1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5A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5A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A3"/>
  </w:style>
  <w:style w:type="paragraph" w:styleId="Footer">
    <w:name w:val="footer"/>
    <w:basedOn w:val="Normal"/>
    <w:link w:val="FooterChar"/>
    <w:uiPriority w:val="99"/>
    <w:unhideWhenUsed/>
    <w:rsid w:val="00AF2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Dakshesh Dhare</dc:creator>
  <cp:keywords/>
  <dc:description/>
  <cp:lastModifiedBy>Dakshesh Dhare</cp:lastModifiedBy>
  <cp:revision>2</cp:revision>
  <dcterms:created xsi:type="dcterms:W3CDTF">2026-07-26T09:08:00Z</dcterms:created>
  <dcterms:modified xsi:type="dcterms:W3CDTF">2026-07-26T09:08:00Z</dcterms:modified>
</cp:coreProperties>
</file>